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CDD11" w14:textId="65DE0AC8" w:rsidR="00C869F3" w:rsidRDefault="00F9690B" w:rsidP="00C869F3">
      <w:pPr>
        <w:spacing w:after="480"/>
      </w:pPr>
      <w:r>
        <w:rPr>
          <w:noProof/>
        </w:rPr>
        <w:drawing>
          <wp:inline distT="0" distB="0" distL="0" distR="0" wp14:anchorId="12507B18" wp14:editId="348EF26E">
            <wp:extent cx="2442845" cy="704850"/>
            <wp:effectExtent l="0" t="0" r="0" b="0"/>
            <wp:docPr id="1" name="Picture 1" descr="London Borough of Harr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ndon Borough of Harrow logo"/>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42845" cy="704850"/>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97"/>
        <w:gridCol w:w="4912"/>
      </w:tblGrid>
      <w:tr w:rsidR="00333FAA" w14:paraId="322EF0DF" w14:textId="77777777" w:rsidTr="00EB3CF0">
        <w:trPr>
          <w:tblHeader/>
        </w:trPr>
        <w:tc>
          <w:tcPr>
            <w:tcW w:w="3456" w:type="dxa"/>
            <w:tcBorders>
              <w:bottom w:val="single" w:sz="18" w:space="0" w:color="auto"/>
            </w:tcBorders>
          </w:tcPr>
          <w:p w14:paraId="10F9A427" w14:textId="77777777" w:rsidR="00333FAA" w:rsidRPr="00B805DB" w:rsidRDefault="005811F8" w:rsidP="00F06E4E">
            <w:pPr>
              <w:pStyle w:val="Heading1"/>
              <w:spacing w:after="240"/>
              <w:outlineLvl w:val="0"/>
            </w:pPr>
            <w:r>
              <w:t>Report f</w:t>
            </w:r>
            <w:r w:rsidRPr="00C869F3">
              <w:t>or</w:t>
            </w:r>
            <w:r w:rsidR="00333FAA" w:rsidRPr="00C869F3">
              <w:t>:</w:t>
            </w:r>
          </w:p>
        </w:tc>
        <w:tc>
          <w:tcPr>
            <w:tcW w:w="5054" w:type="dxa"/>
            <w:tcBorders>
              <w:bottom w:val="single" w:sz="18" w:space="0" w:color="auto"/>
            </w:tcBorders>
          </w:tcPr>
          <w:p w14:paraId="541B30E0" w14:textId="77777777" w:rsidR="00333FAA" w:rsidRPr="005E3A10" w:rsidRDefault="005811F8" w:rsidP="00F06E4E">
            <w:pPr>
              <w:pStyle w:val="Heading1"/>
              <w:outlineLvl w:val="0"/>
              <w:rPr>
                <w:szCs w:val="24"/>
              </w:rPr>
            </w:pPr>
            <w:r w:rsidRPr="005E3A10">
              <w:t>Cabinet</w:t>
            </w:r>
          </w:p>
        </w:tc>
      </w:tr>
      <w:tr w:rsidR="00333FAA" w14:paraId="67D60646" w14:textId="77777777" w:rsidTr="00EB3CF0">
        <w:tc>
          <w:tcPr>
            <w:tcW w:w="3456" w:type="dxa"/>
            <w:tcBorders>
              <w:top w:val="single" w:sz="18" w:space="0" w:color="auto"/>
            </w:tcBorders>
          </w:tcPr>
          <w:p w14:paraId="4DDB5947" w14:textId="77777777" w:rsidR="00333FAA" w:rsidRPr="00C13A5F" w:rsidRDefault="00333FAA" w:rsidP="00C869F3">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054" w:type="dxa"/>
            <w:tcBorders>
              <w:top w:val="single" w:sz="18" w:space="0" w:color="auto"/>
            </w:tcBorders>
          </w:tcPr>
          <w:p w14:paraId="72FCD075" w14:textId="0801BAF8" w:rsidR="00333FAA" w:rsidRPr="005E3A10" w:rsidRDefault="006313C1" w:rsidP="00A53B04">
            <w:pPr>
              <w:rPr>
                <w:rFonts w:cs="Arial"/>
                <w:szCs w:val="24"/>
              </w:rPr>
            </w:pPr>
            <w:r>
              <w:rPr>
                <w:rFonts w:cs="Arial"/>
                <w:szCs w:val="24"/>
              </w:rPr>
              <w:t>29</w:t>
            </w:r>
            <w:r w:rsidRPr="006313C1">
              <w:rPr>
                <w:rFonts w:cs="Arial"/>
                <w:szCs w:val="24"/>
                <w:vertAlign w:val="superscript"/>
              </w:rPr>
              <w:t>th</w:t>
            </w:r>
            <w:r>
              <w:rPr>
                <w:rFonts w:cs="Arial"/>
                <w:szCs w:val="24"/>
              </w:rPr>
              <w:t xml:space="preserve"> June 2023</w:t>
            </w:r>
          </w:p>
        </w:tc>
      </w:tr>
      <w:tr w:rsidR="00333FAA" w14:paraId="3CC97725" w14:textId="77777777" w:rsidTr="00EB3CF0">
        <w:tc>
          <w:tcPr>
            <w:tcW w:w="3456" w:type="dxa"/>
          </w:tcPr>
          <w:p w14:paraId="18BB8951" w14:textId="77777777" w:rsidR="00333FAA" w:rsidRPr="00C13A5F" w:rsidRDefault="00333FAA" w:rsidP="00C869F3">
            <w:pPr>
              <w:pStyle w:val="Infotext"/>
              <w:spacing w:after="240"/>
              <w:rPr>
                <w:rFonts w:ascii="Arial Black" w:hAnsi="Arial Black"/>
              </w:rPr>
            </w:pPr>
            <w:r w:rsidRPr="00C13A5F">
              <w:rPr>
                <w:rFonts w:ascii="Arial Black" w:hAnsi="Arial Black" w:cs="Arial"/>
              </w:rPr>
              <w:t>Subject:</w:t>
            </w:r>
          </w:p>
        </w:tc>
        <w:tc>
          <w:tcPr>
            <w:tcW w:w="5054" w:type="dxa"/>
          </w:tcPr>
          <w:p w14:paraId="6D8FB2C1" w14:textId="0B32E3D8" w:rsidR="00333FAA" w:rsidRPr="005E3A10" w:rsidRDefault="0039225E" w:rsidP="00A53B04">
            <w:pPr>
              <w:rPr>
                <w:rFonts w:cs="Arial"/>
                <w:szCs w:val="24"/>
              </w:rPr>
            </w:pPr>
            <w:r>
              <w:rPr>
                <w:rFonts w:cs="Arial"/>
                <w:szCs w:val="24"/>
              </w:rPr>
              <w:t>Harrow Economic Strategy 2023</w:t>
            </w:r>
            <w:r w:rsidR="00510A21">
              <w:rPr>
                <w:rFonts w:cs="Arial"/>
                <w:szCs w:val="24"/>
              </w:rPr>
              <w:t xml:space="preserve"> - 20</w:t>
            </w:r>
            <w:r>
              <w:rPr>
                <w:rFonts w:cs="Arial"/>
                <w:szCs w:val="24"/>
              </w:rPr>
              <w:t>26</w:t>
            </w:r>
          </w:p>
        </w:tc>
      </w:tr>
      <w:tr w:rsidR="00333FAA" w14:paraId="32449166" w14:textId="77777777" w:rsidTr="00EB3CF0">
        <w:tc>
          <w:tcPr>
            <w:tcW w:w="3456" w:type="dxa"/>
          </w:tcPr>
          <w:p w14:paraId="17ECA8FA" w14:textId="77777777" w:rsidR="00333FAA" w:rsidRPr="00C13A5F" w:rsidRDefault="00333FAA" w:rsidP="00C869F3">
            <w:pPr>
              <w:pStyle w:val="Infotext"/>
              <w:spacing w:after="240"/>
              <w:rPr>
                <w:rFonts w:ascii="Arial Black" w:hAnsi="Arial Black" w:cs="Arial"/>
              </w:rPr>
            </w:pPr>
            <w:r w:rsidRPr="00C13A5F">
              <w:rPr>
                <w:rFonts w:ascii="Arial Black" w:hAnsi="Arial Black" w:cs="Arial"/>
              </w:rPr>
              <w:t>Key Decision:</w:t>
            </w:r>
          </w:p>
        </w:tc>
        <w:tc>
          <w:tcPr>
            <w:tcW w:w="5054" w:type="dxa"/>
          </w:tcPr>
          <w:p w14:paraId="2E125C50" w14:textId="14525CCE" w:rsidR="007A2707" w:rsidRDefault="001C7E35" w:rsidP="007049A9">
            <w:pPr>
              <w:pStyle w:val="Infotext"/>
              <w:rPr>
                <w:rFonts w:cs="Arial"/>
                <w:color w:val="000000" w:themeColor="text1"/>
                <w:sz w:val="24"/>
                <w:szCs w:val="24"/>
                <w:lang w:val="en-US"/>
              </w:rPr>
            </w:pPr>
            <w:r w:rsidRPr="005E3A10">
              <w:rPr>
                <w:rFonts w:cs="Arial"/>
                <w:sz w:val="24"/>
                <w:szCs w:val="24"/>
              </w:rPr>
              <w:t xml:space="preserve">Yes </w:t>
            </w:r>
            <w:r w:rsidR="00F92CA0">
              <w:rPr>
                <w:rFonts w:cs="Arial"/>
                <w:sz w:val="24"/>
                <w:szCs w:val="24"/>
              </w:rPr>
              <w:t>- i</w:t>
            </w:r>
            <w:r w:rsidR="000C0105" w:rsidRPr="000C0105">
              <w:rPr>
                <w:sz w:val="24"/>
                <w:szCs w:val="24"/>
              </w:rPr>
              <w:t>t is</w:t>
            </w:r>
            <w:r w:rsidR="000C0105">
              <w:t xml:space="preserve"> </w:t>
            </w:r>
            <w:r w:rsidR="007049A9" w:rsidRPr="007049A9">
              <w:rPr>
                <w:rFonts w:cs="Arial"/>
                <w:color w:val="000000" w:themeColor="text1"/>
                <w:sz w:val="24"/>
                <w:szCs w:val="24"/>
                <w:lang w:val="en-US"/>
              </w:rPr>
              <w:t>significant in terms of its effects on communities living or working in an area of two or more wards of the Borough</w:t>
            </w:r>
          </w:p>
          <w:p w14:paraId="3EADF2B3" w14:textId="5A5C9D7B" w:rsidR="00A252D1" w:rsidRPr="005E3A10" w:rsidRDefault="00A252D1" w:rsidP="007049A9">
            <w:pPr>
              <w:pStyle w:val="Infotext"/>
              <w:rPr>
                <w:rFonts w:cs="Arial"/>
                <w:szCs w:val="24"/>
              </w:rPr>
            </w:pPr>
          </w:p>
        </w:tc>
      </w:tr>
      <w:tr w:rsidR="001C7E35" w14:paraId="79E96200" w14:textId="77777777" w:rsidTr="00EB3CF0">
        <w:tc>
          <w:tcPr>
            <w:tcW w:w="3456" w:type="dxa"/>
          </w:tcPr>
          <w:p w14:paraId="0B8ABDC4"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Responsible Officer:</w:t>
            </w:r>
          </w:p>
        </w:tc>
        <w:tc>
          <w:tcPr>
            <w:tcW w:w="5054" w:type="dxa"/>
          </w:tcPr>
          <w:p w14:paraId="31D55111" w14:textId="4F8AD4F9" w:rsidR="009A67D2" w:rsidRDefault="009A67D2" w:rsidP="00840964">
            <w:pPr>
              <w:pStyle w:val="Infotext"/>
              <w:rPr>
                <w:rFonts w:cs="Arial"/>
                <w:color w:val="000000" w:themeColor="text1"/>
                <w:sz w:val="24"/>
                <w:szCs w:val="24"/>
              </w:rPr>
            </w:pPr>
            <w:r w:rsidRPr="00CF18D5">
              <w:rPr>
                <w:rFonts w:cs="Arial"/>
                <w:color w:val="000000" w:themeColor="text1"/>
                <w:sz w:val="24"/>
                <w:szCs w:val="24"/>
              </w:rPr>
              <w:t xml:space="preserve">Dipti Patel </w:t>
            </w:r>
            <w:r w:rsidR="00F92CA0">
              <w:rPr>
                <w:rFonts w:cs="Arial"/>
                <w:color w:val="000000" w:themeColor="text1"/>
                <w:sz w:val="24"/>
                <w:szCs w:val="24"/>
              </w:rPr>
              <w:t xml:space="preserve">- </w:t>
            </w:r>
            <w:r w:rsidR="00CF18D5" w:rsidRPr="00CF18D5">
              <w:rPr>
                <w:rFonts w:cs="Arial"/>
                <w:color w:val="000000" w:themeColor="text1"/>
                <w:sz w:val="24"/>
                <w:szCs w:val="24"/>
              </w:rPr>
              <w:t>Corporate</w:t>
            </w:r>
            <w:r w:rsidRPr="00CF18D5">
              <w:rPr>
                <w:rFonts w:cs="Arial"/>
                <w:color w:val="000000" w:themeColor="text1"/>
                <w:sz w:val="24"/>
                <w:szCs w:val="24"/>
              </w:rPr>
              <w:t xml:space="preserve"> </w:t>
            </w:r>
            <w:r w:rsidR="00CF18D5" w:rsidRPr="00CF18D5">
              <w:rPr>
                <w:rFonts w:cs="Arial"/>
                <w:color w:val="000000" w:themeColor="text1"/>
                <w:sz w:val="24"/>
                <w:szCs w:val="24"/>
              </w:rPr>
              <w:t xml:space="preserve">of </w:t>
            </w:r>
            <w:r w:rsidRPr="00CF18D5">
              <w:rPr>
                <w:rFonts w:cs="Arial"/>
                <w:color w:val="000000" w:themeColor="text1"/>
                <w:sz w:val="24"/>
                <w:szCs w:val="24"/>
              </w:rPr>
              <w:t>Director Place</w:t>
            </w:r>
            <w:r w:rsidR="00F92CA0">
              <w:rPr>
                <w:rFonts w:cs="Arial"/>
                <w:color w:val="000000" w:themeColor="text1"/>
                <w:sz w:val="24"/>
                <w:szCs w:val="24"/>
              </w:rPr>
              <w:t>;</w:t>
            </w:r>
          </w:p>
          <w:p w14:paraId="1C19338B" w14:textId="77777777" w:rsidR="00F92CA0" w:rsidRPr="00CF18D5" w:rsidRDefault="00F92CA0" w:rsidP="00840964">
            <w:pPr>
              <w:pStyle w:val="Infotext"/>
              <w:rPr>
                <w:rFonts w:cs="Arial"/>
                <w:color w:val="000000" w:themeColor="text1"/>
                <w:sz w:val="24"/>
                <w:szCs w:val="24"/>
              </w:rPr>
            </w:pPr>
          </w:p>
          <w:p w14:paraId="281789F4" w14:textId="2ABCF6E5" w:rsidR="00840964" w:rsidRPr="00CF18D5" w:rsidRDefault="00840964" w:rsidP="00840964">
            <w:pPr>
              <w:pStyle w:val="Infotext"/>
              <w:rPr>
                <w:rFonts w:cs="Arial"/>
                <w:color w:val="000000" w:themeColor="text1"/>
                <w:sz w:val="24"/>
                <w:szCs w:val="24"/>
              </w:rPr>
            </w:pPr>
            <w:r w:rsidRPr="00CF18D5">
              <w:rPr>
                <w:rFonts w:cs="Arial"/>
                <w:color w:val="000000" w:themeColor="text1"/>
                <w:sz w:val="24"/>
                <w:szCs w:val="24"/>
              </w:rPr>
              <w:t xml:space="preserve">Mark Billington </w:t>
            </w:r>
            <w:r w:rsidR="00F92CA0">
              <w:rPr>
                <w:rFonts w:cs="Arial"/>
                <w:color w:val="000000" w:themeColor="text1"/>
                <w:sz w:val="24"/>
                <w:szCs w:val="24"/>
              </w:rPr>
              <w:t xml:space="preserve">- </w:t>
            </w:r>
            <w:r w:rsidRPr="00CF18D5">
              <w:rPr>
                <w:rFonts w:cs="Arial"/>
                <w:color w:val="000000" w:themeColor="text1"/>
                <w:sz w:val="24"/>
                <w:szCs w:val="24"/>
              </w:rPr>
              <w:t>Director of Inclusive Economy</w:t>
            </w:r>
            <w:r w:rsidR="005E441D" w:rsidRPr="00CF18D5">
              <w:rPr>
                <w:rFonts w:cs="Arial"/>
                <w:color w:val="000000" w:themeColor="text1"/>
                <w:sz w:val="24"/>
                <w:szCs w:val="24"/>
              </w:rPr>
              <w:t>,</w:t>
            </w:r>
            <w:r w:rsidRPr="00CF18D5">
              <w:rPr>
                <w:rFonts w:cs="Arial"/>
                <w:color w:val="000000" w:themeColor="text1"/>
                <w:sz w:val="24"/>
                <w:szCs w:val="24"/>
              </w:rPr>
              <w:t xml:space="preserve"> Leisure &amp; Culture</w:t>
            </w:r>
          </w:p>
          <w:p w14:paraId="3798BF23" w14:textId="77777777" w:rsidR="001C7E35" w:rsidRPr="00CF18D5" w:rsidRDefault="001C7E35" w:rsidP="00D835CF">
            <w:pPr>
              <w:pStyle w:val="Infotext"/>
              <w:rPr>
                <w:rFonts w:cs="Arial"/>
                <w:color w:val="000000" w:themeColor="text1"/>
                <w:sz w:val="24"/>
                <w:szCs w:val="24"/>
              </w:rPr>
            </w:pPr>
          </w:p>
        </w:tc>
      </w:tr>
      <w:tr w:rsidR="001C7E35" w14:paraId="3B6FD8B1" w14:textId="77777777" w:rsidTr="00EB3CF0">
        <w:tc>
          <w:tcPr>
            <w:tcW w:w="3456" w:type="dxa"/>
          </w:tcPr>
          <w:p w14:paraId="0961945D" w14:textId="77777777" w:rsidR="001C7E35" w:rsidRPr="00C13A5F" w:rsidRDefault="001C7E35" w:rsidP="00C869F3">
            <w:pPr>
              <w:pStyle w:val="Infotext"/>
              <w:spacing w:after="240"/>
              <w:rPr>
                <w:rFonts w:ascii="Arial Black" w:hAnsi="Arial Black"/>
              </w:rPr>
            </w:pPr>
            <w:r w:rsidRPr="00DB6C3D">
              <w:rPr>
                <w:rFonts w:ascii="Arial Black" w:hAnsi="Arial Black"/>
              </w:rPr>
              <w:t>Portfolio Holder:</w:t>
            </w:r>
          </w:p>
        </w:tc>
        <w:tc>
          <w:tcPr>
            <w:tcW w:w="5054" w:type="dxa"/>
          </w:tcPr>
          <w:p w14:paraId="131907FE" w14:textId="77777777" w:rsidR="00A83583" w:rsidRPr="009B0956" w:rsidRDefault="00A83583" w:rsidP="00A83583">
            <w:pPr>
              <w:pStyle w:val="Infotext"/>
              <w:rPr>
                <w:rFonts w:cs="Arial"/>
                <w:sz w:val="24"/>
                <w:szCs w:val="24"/>
              </w:rPr>
            </w:pPr>
            <w:r w:rsidRPr="009B0956">
              <w:rPr>
                <w:rFonts w:cs="Arial"/>
                <w:sz w:val="24"/>
                <w:szCs w:val="24"/>
              </w:rPr>
              <w:t>Cllr Norman Stevenson – Portfolio Holder for Business, Employment &amp; Property</w:t>
            </w:r>
          </w:p>
          <w:p w14:paraId="39A9A01A" w14:textId="5575610D" w:rsidR="001C7E35" w:rsidRPr="005E3A10" w:rsidRDefault="001C7E35" w:rsidP="00D835CF">
            <w:pPr>
              <w:pStyle w:val="Infotext"/>
              <w:rPr>
                <w:rFonts w:cs="Arial"/>
                <w:color w:val="FF0000"/>
                <w:sz w:val="24"/>
                <w:szCs w:val="24"/>
              </w:rPr>
            </w:pPr>
          </w:p>
        </w:tc>
      </w:tr>
      <w:tr w:rsidR="001C7E35" w14:paraId="3CF618C8" w14:textId="77777777" w:rsidTr="00EB3CF0">
        <w:tc>
          <w:tcPr>
            <w:tcW w:w="3456" w:type="dxa"/>
          </w:tcPr>
          <w:p w14:paraId="4CD8D092" w14:textId="77777777" w:rsidR="001C7E35" w:rsidRPr="00C13A5F" w:rsidRDefault="001C7E35" w:rsidP="00C869F3">
            <w:pPr>
              <w:pStyle w:val="Infotext"/>
              <w:spacing w:after="240"/>
              <w:rPr>
                <w:rFonts w:ascii="Arial Black" w:hAnsi="Arial Black"/>
              </w:rPr>
            </w:pPr>
            <w:r w:rsidRPr="00DB6C3D">
              <w:rPr>
                <w:rFonts w:ascii="Arial Black" w:hAnsi="Arial Black"/>
              </w:rPr>
              <w:t>Exempt:</w:t>
            </w:r>
          </w:p>
        </w:tc>
        <w:tc>
          <w:tcPr>
            <w:tcW w:w="5054" w:type="dxa"/>
          </w:tcPr>
          <w:p w14:paraId="34C65BD0" w14:textId="0DE4F195" w:rsidR="001C7E35" w:rsidRPr="005E3A10" w:rsidRDefault="001C7E35" w:rsidP="00D835CF">
            <w:pPr>
              <w:pStyle w:val="Infotext"/>
              <w:rPr>
                <w:rFonts w:cs="Arial"/>
                <w:sz w:val="24"/>
                <w:szCs w:val="24"/>
              </w:rPr>
            </w:pPr>
            <w:r w:rsidRPr="005E3A10">
              <w:rPr>
                <w:rFonts w:cs="Arial"/>
                <w:sz w:val="24"/>
                <w:szCs w:val="24"/>
              </w:rPr>
              <w:t>No</w:t>
            </w:r>
          </w:p>
          <w:p w14:paraId="755E47D1" w14:textId="77777777" w:rsidR="001C7E35" w:rsidRPr="005E3A10" w:rsidRDefault="001C7E35" w:rsidP="00E836B1">
            <w:pPr>
              <w:pStyle w:val="Infotext"/>
              <w:rPr>
                <w:rFonts w:cs="Arial"/>
                <w:color w:val="FF0000"/>
                <w:sz w:val="24"/>
                <w:szCs w:val="24"/>
              </w:rPr>
            </w:pPr>
          </w:p>
        </w:tc>
      </w:tr>
      <w:tr w:rsidR="001C7E35" w14:paraId="577CD75A" w14:textId="77777777" w:rsidTr="00EB3CF0">
        <w:tc>
          <w:tcPr>
            <w:tcW w:w="3456" w:type="dxa"/>
          </w:tcPr>
          <w:p w14:paraId="4821943C" w14:textId="77777777" w:rsidR="001C7E35" w:rsidRPr="00C13A5F" w:rsidRDefault="001C7E35" w:rsidP="00C869F3">
            <w:pPr>
              <w:pStyle w:val="Infotext"/>
              <w:spacing w:after="240"/>
              <w:rPr>
                <w:rFonts w:ascii="Arial Black" w:hAnsi="Arial Black"/>
              </w:rPr>
            </w:pPr>
            <w:r w:rsidRPr="00DB6C3D">
              <w:rPr>
                <w:rFonts w:ascii="Arial Black" w:hAnsi="Arial Black"/>
              </w:rPr>
              <w:t>Decision subject to Call-in:</w:t>
            </w:r>
          </w:p>
        </w:tc>
        <w:tc>
          <w:tcPr>
            <w:tcW w:w="5054" w:type="dxa"/>
          </w:tcPr>
          <w:p w14:paraId="4B40AAFF" w14:textId="762A5E49" w:rsidR="001C7E35" w:rsidRPr="005E3A10" w:rsidRDefault="00CC031F" w:rsidP="00D835CF">
            <w:pPr>
              <w:pStyle w:val="Infotext"/>
              <w:rPr>
                <w:rFonts w:cs="Arial"/>
                <w:sz w:val="24"/>
                <w:szCs w:val="24"/>
              </w:rPr>
            </w:pPr>
            <w:r>
              <w:rPr>
                <w:rFonts w:cs="Arial"/>
                <w:sz w:val="24"/>
                <w:szCs w:val="24"/>
              </w:rPr>
              <w:t>Yes</w:t>
            </w:r>
          </w:p>
          <w:p w14:paraId="0AECD361" w14:textId="7C5FF9AD" w:rsidR="001C7E35" w:rsidRPr="005E3A10" w:rsidRDefault="001C7E35" w:rsidP="00D835CF">
            <w:pPr>
              <w:rPr>
                <w:rFonts w:cs="Arial"/>
                <w:szCs w:val="24"/>
              </w:rPr>
            </w:pPr>
          </w:p>
          <w:p w14:paraId="3A75E271" w14:textId="77777777" w:rsidR="00714BEE" w:rsidRPr="005E3A10" w:rsidRDefault="00714BEE" w:rsidP="00D835CF">
            <w:pPr>
              <w:rPr>
                <w:rFonts w:cs="Arial"/>
                <w:szCs w:val="24"/>
              </w:rPr>
            </w:pPr>
          </w:p>
        </w:tc>
      </w:tr>
      <w:tr w:rsidR="001C7E35" w14:paraId="7E5497E1" w14:textId="77777777" w:rsidTr="00EB3CF0">
        <w:tc>
          <w:tcPr>
            <w:tcW w:w="3456" w:type="dxa"/>
          </w:tcPr>
          <w:p w14:paraId="6B5E6A6A" w14:textId="77777777" w:rsidR="001C7E35" w:rsidRPr="00C13A5F" w:rsidRDefault="001C7E35" w:rsidP="00C869F3">
            <w:pPr>
              <w:pStyle w:val="Infotext"/>
              <w:spacing w:after="240"/>
              <w:rPr>
                <w:rFonts w:ascii="Arial Black" w:hAnsi="Arial Black" w:cs="Arial"/>
              </w:rPr>
            </w:pPr>
            <w:r>
              <w:rPr>
                <w:rFonts w:ascii="Arial Black" w:hAnsi="Arial Black" w:cs="Arial"/>
              </w:rPr>
              <w:t>Wards affected:</w:t>
            </w:r>
          </w:p>
        </w:tc>
        <w:tc>
          <w:tcPr>
            <w:tcW w:w="5054" w:type="dxa"/>
          </w:tcPr>
          <w:p w14:paraId="52E38AE7" w14:textId="76D53D0B" w:rsidR="00307F76" w:rsidRPr="00307F76" w:rsidRDefault="00A249CA" w:rsidP="00D835CF">
            <w:pPr>
              <w:rPr>
                <w:rFonts w:cs="Arial"/>
                <w:b/>
                <w:color w:val="FF0000"/>
                <w:szCs w:val="24"/>
              </w:rPr>
            </w:pPr>
            <w:r>
              <w:rPr>
                <w:rFonts w:cs="Arial"/>
                <w:szCs w:val="24"/>
              </w:rPr>
              <w:t xml:space="preserve">All </w:t>
            </w:r>
            <w:r w:rsidR="004664EE">
              <w:rPr>
                <w:rFonts w:cs="Arial"/>
                <w:szCs w:val="24"/>
              </w:rPr>
              <w:t xml:space="preserve">Wards </w:t>
            </w:r>
          </w:p>
        </w:tc>
      </w:tr>
      <w:tr w:rsidR="001C7E35" w14:paraId="5F1445BF" w14:textId="77777777" w:rsidTr="00EB3CF0">
        <w:tc>
          <w:tcPr>
            <w:tcW w:w="3456" w:type="dxa"/>
          </w:tcPr>
          <w:p w14:paraId="0E539C63"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Enclosures:</w:t>
            </w:r>
          </w:p>
        </w:tc>
        <w:tc>
          <w:tcPr>
            <w:tcW w:w="5054" w:type="dxa"/>
          </w:tcPr>
          <w:p w14:paraId="4FBA4417" w14:textId="46B95575" w:rsidR="001C7E35" w:rsidRDefault="00745254" w:rsidP="00DB6C3D">
            <w:pPr>
              <w:pStyle w:val="Infotext"/>
              <w:rPr>
                <w:rFonts w:cs="Arial"/>
                <w:sz w:val="24"/>
                <w:szCs w:val="24"/>
              </w:rPr>
            </w:pPr>
            <w:r>
              <w:rPr>
                <w:rFonts w:cs="Arial"/>
                <w:sz w:val="24"/>
                <w:szCs w:val="24"/>
              </w:rPr>
              <w:t xml:space="preserve">Appendix 1 – </w:t>
            </w:r>
            <w:r w:rsidR="004664EE">
              <w:rPr>
                <w:rFonts w:cs="Arial"/>
                <w:sz w:val="24"/>
                <w:szCs w:val="24"/>
              </w:rPr>
              <w:t xml:space="preserve">Final </w:t>
            </w:r>
            <w:r w:rsidR="001C2EDA">
              <w:rPr>
                <w:rFonts w:cs="Arial"/>
                <w:sz w:val="24"/>
                <w:szCs w:val="24"/>
              </w:rPr>
              <w:t xml:space="preserve">Draft </w:t>
            </w:r>
            <w:r>
              <w:rPr>
                <w:rFonts w:cs="Arial"/>
                <w:sz w:val="24"/>
                <w:szCs w:val="24"/>
              </w:rPr>
              <w:t>Harrow Economic Strategy 2023-</w:t>
            </w:r>
            <w:r w:rsidR="00173A3B">
              <w:rPr>
                <w:rFonts w:cs="Arial"/>
                <w:sz w:val="24"/>
                <w:szCs w:val="24"/>
              </w:rPr>
              <w:t xml:space="preserve"> 20</w:t>
            </w:r>
            <w:r>
              <w:rPr>
                <w:rFonts w:cs="Arial"/>
                <w:sz w:val="24"/>
                <w:szCs w:val="24"/>
              </w:rPr>
              <w:t>26</w:t>
            </w:r>
          </w:p>
          <w:p w14:paraId="6668D730" w14:textId="3DD4BA10" w:rsidR="00745254" w:rsidRPr="005E3A10" w:rsidRDefault="00FA1F06" w:rsidP="00DB6C3D">
            <w:pPr>
              <w:pStyle w:val="Infotext"/>
              <w:rPr>
                <w:color w:val="FF0000"/>
                <w:sz w:val="24"/>
                <w:szCs w:val="24"/>
              </w:rPr>
            </w:pPr>
            <w:r w:rsidRPr="00FA1F06">
              <w:rPr>
                <w:color w:val="000000" w:themeColor="text1"/>
                <w:sz w:val="24"/>
                <w:szCs w:val="24"/>
              </w:rPr>
              <w:t>Appendix</w:t>
            </w:r>
            <w:r w:rsidR="00745254" w:rsidRPr="00FA1F06">
              <w:rPr>
                <w:color w:val="000000" w:themeColor="text1"/>
                <w:sz w:val="24"/>
                <w:szCs w:val="24"/>
              </w:rPr>
              <w:t xml:space="preserve"> 2 </w:t>
            </w:r>
            <w:r w:rsidRPr="00FA1F06">
              <w:rPr>
                <w:color w:val="000000" w:themeColor="text1"/>
                <w:sz w:val="24"/>
                <w:szCs w:val="24"/>
              </w:rPr>
              <w:t>–</w:t>
            </w:r>
            <w:r w:rsidR="00745254" w:rsidRPr="00FA1F06">
              <w:rPr>
                <w:color w:val="000000" w:themeColor="text1"/>
                <w:sz w:val="24"/>
                <w:szCs w:val="24"/>
              </w:rPr>
              <w:t xml:space="preserve"> </w:t>
            </w:r>
            <w:r w:rsidRPr="00FA1F06">
              <w:rPr>
                <w:color w:val="000000" w:themeColor="text1"/>
                <w:sz w:val="24"/>
                <w:szCs w:val="24"/>
              </w:rPr>
              <w:t>E</w:t>
            </w:r>
            <w:r w:rsidR="00173A3B">
              <w:rPr>
                <w:color w:val="000000" w:themeColor="text1"/>
                <w:sz w:val="24"/>
                <w:szCs w:val="24"/>
              </w:rPr>
              <w:t>q</w:t>
            </w:r>
            <w:r w:rsidRPr="00FA1F06">
              <w:rPr>
                <w:color w:val="000000" w:themeColor="text1"/>
                <w:sz w:val="24"/>
                <w:szCs w:val="24"/>
              </w:rPr>
              <w:t xml:space="preserve">IA </w:t>
            </w:r>
            <w:r w:rsidRPr="00FA1F06">
              <w:rPr>
                <w:rFonts w:cs="Arial"/>
                <w:color w:val="000000" w:themeColor="text1"/>
                <w:sz w:val="24"/>
                <w:szCs w:val="24"/>
              </w:rPr>
              <w:t>Harrow Economic Strategy 2023-26</w:t>
            </w:r>
          </w:p>
        </w:tc>
      </w:tr>
    </w:tbl>
    <w:p w14:paraId="27C48D26" w14:textId="77777777" w:rsidR="00333FAA" w:rsidRDefault="00333FAA" w:rsidP="00C869F3">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333FAA" w14:paraId="39320826" w14:textId="77777777" w:rsidTr="00221A93">
        <w:trPr>
          <w:tblHeader/>
        </w:trPr>
        <w:tc>
          <w:tcPr>
            <w:tcW w:w="8525" w:type="dxa"/>
            <w:tcBorders>
              <w:top w:val="nil"/>
              <w:left w:val="nil"/>
              <w:right w:val="nil"/>
            </w:tcBorders>
          </w:tcPr>
          <w:p w14:paraId="3A67BFB3" w14:textId="77777777" w:rsidR="00333FAA" w:rsidRDefault="00333FAA" w:rsidP="00605A4C">
            <w:pPr>
              <w:pStyle w:val="Heading2"/>
              <w:spacing w:after="240"/>
            </w:pPr>
            <w:r>
              <w:lastRenderedPageBreak/>
              <w:t>Section 1 – Summary and Recommendations</w:t>
            </w:r>
          </w:p>
        </w:tc>
      </w:tr>
      <w:tr w:rsidR="00333FAA" w14:paraId="5D78E563" w14:textId="77777777" w:rsidTr="00221A93">
        <w:trPr>
          <w:tblHeader/>
        </w:trPr>
        <w:tc>
          <w:tcPr>
            <w:tcW w:w="8525" w:type="dxa"/>
          </w:tcPr>
          <w:p w14:paraId="336C8E46" w14:textId="24F2D82C" w:rsidR="001C2EDA" w:rsidRPr="001C2EDA" w:rsidRDefault="001C2EDA" w:rsidP="001C2EDA">
            <w:pPr>
              <w:pStyle w:val="Default"/>
            </w:pPr>
            <w:r w:rsidRPr="001C2EDA">
              <w:t xml:space="preserve">This report seeks Cabinet approval for the </w:t>
            </w:r>
            <w:r w:rsidR="00633187">
              <w:t>Final Draft</w:t>
            </w:r>
            <w:r w:rsidRPr="001C2EDA">
              <w:t xml:space="preserve"> Economic Strategy 202</w:t>
            </w:r>
            <w:r w:rsidR="001E6E6A">
              <w:t>3</w:t>
            </w:r>
            <w:r w:rsidR="00E7682D">
              <w:t xml:space="preserve"> - </w:t>
            </w:r>
            <w:r w:rsidRPr="001C2EDA">
              <w:t>20</w:t>
            </w:r>
            <w:r w:rsidR="001E6E6A">
              <w:t>26</w:t>
            </w:r>
            <w:r w:rsidRPr="001C2EDA">
              <w:t xml:space="preserve">, as set out in Appendix 1. </w:t>
            </w:r>
          </w:p>
          <w:p w14:paraId="11E9F4BF" w14:textId="77777777" w:rsidR="001E6E6A" w:rsidRDefault="001E6E6A" w:rsidP="001C2EDA">
            <w:pPr>
              <w:pStyle w:val="Default"/>
              <w:rPr>
                <w:b/>
                <w:bCs/>
              </w:rPr>
            </w:pPr>
          </w:p>
          <w:p w14:paraId="669AE5EC" w14:textId="300383F4" w:rsidR="001C2EDA" w:rsidRPr="001C2EDA" w:rsidRDefault="001C2EDA" w:rsidP="001C2EDA">
            <w:pPr>
              <w:pStyle w:val="Default"/>
            </w:pPr>
            <w:r w:rsidRPr="001C2EDA">
              <w:rPr>
                <w:b/>
                <w:bCs/>
              </w:rPr>
              <w:t xml:space="preserve">Recommendations: </w:t>
            </w:r>
          </w:p>
          <w:p w14:paraId="5F738E69" w14:textId="77777777" w:rsidR="001C2EDA" w:rsidRPr="001C2EDA" w:rsidRDefault="001C2EDA" w:rsidP="001C2EDA">
            <w:pPr>
              <w:pStyle w:val="Default"/>
            </w:pPr>
            <w:r w:rsidRPr="001C2EDA">
              <w:t xml:space="preserve">Cabinet is requested to: </w:t>
            </w:r>
          </w:p>
          <w:p w14:paraId="6F2B3FC3" w14:textId="0CF8F898" w:rsidR="001C2EDA" w:rsidRPr="001C2EDA" w:rsidRDefault="001C2EDA" w:rsidP="001C2EDA">
            <w:pPr>
              <w:pStyle w:val="Default"/>
            </w:pPr>
            <w:r w:rsidRPr="001C2EDA">
              <w:t>1. To approve the Council’s Economic Strategy, 20</w:t>
            </w:r>
            <w:r w:rsidR="001E6E6A">
              <w:t>23</w:t>
            </w:r>
            <w:r w:rsidR="00633187">
              <w:t xml:space="preserve"> -</w:t>
            </w:r>
            <w:r w:rsidRPr="001C2EDA">
              <w:t xml:space="preserve"> 20</w:t>
            </w:r>
            <w:r w:rsidR="001E6E6A">
              <w:t>26</w:t>
            </w:r>
            <w:r w:rsidRPr="001C2EDA">
              <w:t xml:space="preserve">. </w:t>
            </w:r>
          </w:p>
          <w:p w14:paraId="73D45504" w14:textId="77777777" w:rsidR="001C2EDA" w:rsidRPr="001C2EDA" w:rsidRDefault="001C2EDA" w:rsidP="001C2EDA">
            <w:pPr>
              <w:pStyle w:val="Default"/>
            </w:pPr>
          </w:p>
          <w:p w14:paraId="33CE6CCB" w14:textId="77777777" w:rsidR="001C2EDA" w:rsidRPr="001C2EDA" w:rsidRDefault="001C2EDA" w:rsidP="001C2EDA">
            <w:pPr>
              <w:pStyle w:val="Default"/>
            </w:pPr>
            <w:r w:rsidRPr="001C2EDA">
              <w:rPr>
                <w:b/>
                <w:bCs/>
              </w:rPr>
              <w:t xml:space="preserve">Reason: (for recommendations) </w:t>
            </w:r>
          </w:p>
          <w:p w14:paraId="313BC81E" w14:textId="26495071" w:rsidR="00333FAA" w:rsidRPr="001C2EDA" w:rsidRDefault="001C2EDA" w:rsidP="001C2EDA">
            <w:pPr>
              <w:rPr>
                <w:szCs w:val="24"/>
              </w:rPr>
            </w:pPr>
            <w:r w:rsidRPr="001C2EDA">
              <w:rPr>
                <w:szCs w:val="24"/>
              </w:rPr>
              <w:t xml:space="preserve">To support a </w:t>
            </w:r>
            <w:r w:rsidR="00E7682D">
              <w:rPr>
                <w:szCs w:val="24"/>
              </w:rPr>
              <w:t>strategy</w:t>
            </w:r>
            <w:r w:rsidRPr="001C2EDA">
              <w:rPr>
                <w:szCs w:val="24"/>
              </w:rPr>
              <w:t xml:space="preserve"> that aligns with the </w:t>
            </w:r>
            <w:r w:rsidR="00E7682D">
              <w:rPr>
                <w:szCs w:val="24"/>
              </w:rPr>
              <w:t>corporate vision</w:t>
            </w:r>
            <w:r w:rsidRPr="001C2EDA">
              <w:rPr>
                <w:szCs w:val="24"/>
              </w:rPr>
              <w:t xml:space="preserve"> and priorities</w:t>
            </w:r>
            <w:r w:rsidR="00E7682D">
              <w:rPr>
                <w:szCs w:val="24"/>
              </w:rPr>
              <w:t xml:space="preserve"> of the </w:t>
            </w:r>
            <w:r w:rsidR="001028DB">
              <w:rPr>
                <w:szCs w:val="24"/>
              </w:rPr>
              <w:t>Council</w:t>
            </w:r>
            <w:r w:rsidRPr="001C2EDA">
              <w:rPr>
                <w:szCs w:val="24"/>
              </w:rPr>
              <w:t xml:space="preserve">. </w:t>
            </w:r>
          </w:p>
        </w:tc>
      </w:tr>
    </w:tbl>
    <w:p w14:paraId="0204F38A" w14:textId="77777777" w:rsidR="00333FAA" w:rsidRDefault="00333FAA" w:rsidP="00F06E4E">
      <w:pPr>
        <w:pStyle w:val="Heading2"/>
        <w:spacing w:before="480"/>
      </w:pPr>
      <w:r>
        <w:t>Section 2 – Report</w:t>
      </w:r>
    </w:p>
    <w:p w14:paraId="76168D48" w14:textId="48F792D9" w:rsidR="001C7E35" w:rsidRDefault="001C7E35" w:rsidP="00914805">
      <w:pPr>
        <w:pStyle w:val="Heading3"/>
        <w:numPr>
          <w:ilvl w:val="0"/>
          <w:numId w:val="3"/>
        </w:numPr>
        <w:spacing w:before="240"/>
      </w:pPr>
      <w:r>
        <w:t>Introduct</w:t>
      </w:r>
      <w:r w:rsidR="00AF6D5A">
        <w:t>ion</w:t>
      </w:r>
    </w:p>
    <w:p w14:paraId="034FC8B8" w14:textId="77777777" w:rsidR="00C4281D" w:rsidRDefault="00C4281D" w:rsidP="001759B9">
      <w:pPr>
        <w:rPr>
          <w:rFonts w:cstheme="minorHAnsi"/>
          <w:color w:val="000000"/>
          <w:szCs w:val="24"/>
        </w:rPr>
      </w:pPr>
    </w:p>
    <w:p w14:paraId="2970A83A" w14:textId="7CBE3505" w:rsidR="00C4281D" w:rsidRDefault="00173A3B" w:rsidP="00914805">
      <w:pPr>
        <w:pStyle w:val="ListParagraph"/>
        <w:numPr>
          <w:ilvl w:val="1"/>
          <w:numId w:val="3"/>
        </w:numPr>
        <w:rPr>
          <w:rFonts w:cstheme="minorHAnsi"/>
          <w:b/>
          <w:bCs/>
          <w:szCs w:val="24"/>
        </w:rPr>
      </w:pPr>
      <w:r w:rsidRPr="00C4281D">
        <w:rPr>
          <w:rFonts w:cstheme="minorHAnsi"/>
          <w:color w:val="000000"/>
          <w:szCs w:val="24"/>
        </w:rPr>
        <w:t>The Harrow Economic Strategy 2023-2026 as set out in Appendix 1,</w:t>
      </w:r>
      <w:r w:rsidR="001759B9" w:rsidRPr="00C4281D">
        <w:rPr>
          <w:rFonts w:cstheme="minorHAnsi"/>
          <w:color w:val="000000"/>
          <w:szCs w:val="24"/>
        </w:rPr>
        <w:t xml:space="preserve"> is </w:t>
      </w:r>
      <w:r w:rsidR="00F540FA">
        <w:rPr>
          <w:rFonts w:cstheme="minorHAnsi"/>
          <w:color w:val="000000"/>
          <w:szCs w:val="24"/>
        </w:rPr>
        <w:t>a</w:t>
      </w:r>
      <w:r w:rsidR="001759B9" w:rsidRPr="00C4281D">
        <w:rPr>
          <w:rFonts w:cstheme="minorHAnsi"/>
          <w:color w:val="000000"/>
          <w:szCs w:val="24"/>
        </w:rPr>
        <w:t xml:space="preserve"> framework to address some of the root causes of poverty and inequality, by addressing low skills and wages, creating jobs and addressing inequalities to improve the skills and employability of our residents and stimulating business growth and job creation.</w:t>
      </w:r>
      <w:r w:rsidR="001759B9" w:rsidRPr="00C4281D">
        <w:rPr>
          <w:rFonts w:cstheme="minorHAnsi"/>
          <w:b/>
          <w:bCs/>
          <w:szCs w:val="24"/>
        </w:rPr>
        <w:t xml:space="preserve"> </w:t>
      </w:r>
    </w:p>
    <w:p w14:paraId="2E3C0559" w14:textId="77777777" w:rsidR="00BD7BCF" w:rsidRPr="00C4281D" w:rsidRDefault="00BD7BCF" w:rsidP="00BD7BCF">
      <w:pPr>
        <w:pStyle w:val="ListParagraph"/>
        <w:ind w:left="543"/>
        <w:rPr>
          <w:rFonts w:cstheme="minorHAnsi"/>
          <w:b/>
          <w:bCs/>
          <w:szCs w:val="24"/>
        </w:rPr>
      </w:pPr>
    </w:p>
    <w:p w14:paraId="304EB87A" w14:textId="77777777" w:rsidR="00BD7BCF" w:rsidRDefault="001759B9" w:rsidP="00914805">
      <w:pPr>
        <w:pStyle w:val="ListParagraph"/>
        <w:numPr>
          <w:ilvl w:val="1"/>
          <w:numId w:val="3"/>
        </w:numPr>
        <w:rPr>
          <w:rFonts w:cstheme="minorHAnsi"/>
          <w:szCs w:val="24"/>
        </w:rPr>
      </w:pPr>
      <w:r w:rsidRPr="00C4281D">
        <w:rPr>
          <w:rFonts w:cstheme="minorHAnsi"/>
          <w:szCs w:val="24"/>
        </w:rPr>
        <w:t>This strategy pulls together the opportunities to support the local economy, generate skills, employment and apprenticeships.</w:t>
      </w:r>
    </w:p>
    <w:p w14:paraId="5707E9E6" w14:textId="77777777" w:rsidR="00BD7BCF" w:rsidRPr="00BD7BCF" w:rsidRDefault="00BD7BCF" w:rsidP="00BD7BCF">
      <w:pPr>
        <w:pStyle w:val="ListParagraph"/>
        <w:rPr>
          <w:rFonts w:cstheme="minorHAnsi"/>
          <w:szCs w:val="24"/>
        </w:rPr>
      </w:pPr>
    </w:p>
    <w:p w14:paraId="5D79381C" w14:textId="5DC5C7E0" w:rsidR="00E53751" w:rsidRPr="00BD7BCF" w:rsidRDefault="00E53751" w:rsidP="00914805">
      <w:pPr>
        <w:pStyle w:val="ListParagraph"/>
        <w:numPr>
          <w:ilvl w:val="1"/>
          <w:numId w:val="3"/>
        </w:numPr>
        <w:rPr>
          <w:rFonts w:cstheme="minorHAnsi"/>
          <w:szCs w:val="24"/>
        </w:rPr>
      </w:pPr>
      <w:r w:rsidRPr="00BD7BCF">
        <w:rPr>
          <w:rFonts w:cstheme="minorHAnsi"/>
          <w:szCs w:val="24"/>
        </w:rPr>
        <w:t xml:space="preserve">The strategy aims to achieve </w:t>
      </w:r>
      <w:r w:rsidR="003E0C46">
        <w:rPr>
          <w:rFonts w:cstheme="minorHAnsi"/>
          <w:szCs w:val="24"/>
        </w:rPr>
        <w:t>the Council’s</w:t>
      </w:r>
      <w:r w:rsidRPr="00BD7BCF">
        <w:rPr>
          <w:rFonts w:cstheme="minorHAnsi"/>
          <w:szCs w:val="24"/>
        </w:rPr>
        <w:t xml:space="preserve"> corporate</w:t>
      </w:r>
      <w:r w:rsidR="001D04C9">
        <w:rPr>
          <w:rFonts w:cstheme="minorHAnsi"/>
          <w:szCs w:val="24"/>
        </w:rPr>
        <w:t xml:space="preserve"> vision of Restoring Pride in Harrow and the three</w:t>
      </w:r>
      <w:r w:rsidRPr="00BD7BCF">
        <w:rPr>
          <w:rFonts w:cstheme="minorHAnsi"/>
          <w:szCs w:val="24"/>
        </w:rPr>
        <w:t xml:space="preserve"> priorities:</w:t>
      </w:r>
    </w:p>
    <w:p w14:paraId="0E6A6AC2" w14:textId="746EE2BA" w:rsidR="00E53751" w:rsidRPr="009565E8" w:rsidRDefault="00E53751" w:rsidP="00914805">
      <w:pPr>
        <w:pStyle w:val="ListParagraph"/>
        <w:numPr>
          <w:ilvl w:val="0"/>
          <w:numId w:val="4"/>
        </w:numPr>
        <w:rPr>
          <w:rFonts w:cstheme="minorHAnsi"/>
          <w:szCs w:val="24"/>
        </w:rPr>
      </w:pPr>
      <w:r w:rsidRPr="009565E8">
        <w:rPr>
          <w:rFonts w:cstheme="minorHAnsi"/>
          <w:szCs w:val="24"/>
        </w:rPr>
        <w:t>A Council that puts residents first</w:t>
      </w:r>
    </w:p>
    <w:p w14:paraId="238E4D20" w14:textId="7CFF2243" w:rsidR="00E53751" w:rsidRPr="009565E8" w:rsidRDefault="00E53751" w:rsidP="00914805">
      <w:pPr>
        <w:pStyle w:val="ListParagraph"/>
        <w:numPr>
          <w:ilvl w:val="0"/>
          <w:numId w:val="4"/>
        </w:numPr>
        <w:rPr>
          <w:rFonts w:cstheme="minorHAnsi"/>
          <w:szCs w:val="24"/>
        </w:rPr>
      </w:pPr>
      <w:r w:rsidRPr="009565E8">
        <w:rPr>
          <w:rFonts w:cstheme="minorHAnsi"/>
          <w:szCs w:val="24"/>
        </w:rPr>
        <w:t>A borough that is clean and safe</w:t>
      </w:r>
    </w:p>
    <w:p w14:paraId="25318464" w14:textId="24F11E40" w:rsidR="00E53751" w:rsidRDefault="00E53751" w:rsidP="00914805">
      <w:pPr>
        <w:pStyle w:val="ListParagraph"/>
        <w:numPr>
          <w:ilvl w:val="0"/>
          <w:numId w:val="4"/>
        </w:numPr>
        <w:rPr>
          <w:rFonts w:cstheme="minorHAnsi"/>
          <w:szCs w:val="24"/>
        </w:rPr>
      </w:pPr>
      <w:r w:rsidRPr="009565E8">
        <w:rPr>
          <w:rFonts w:cstheme="minorHAnsi"/>
          <w:szCs w:val="24"/>
        </w:rPr>
        <w:t>A place where those in need are supported</w:t>
      </w:r>
    </w:p>
    <w:p w14:paraId="4B2B5435" w14:textId="77777777" w:rsidR="00522012" w:rsidRDefault="00522012" w:rsidP="00522012">
      <w:pPr>
        <w:rPr>
          <w:rFonts w:cstheme="minorHAnsi"/>
          <w:szCs w:val="24"/>
        </w:rPr>
      </w:pPr>
    </w:p>
    <w:p w14:paraId="12C76CB6" w14:textId="39F9C87F" w:rsidR="000E3043" w:rsidRPr="001D04C9" w:rsidRDefault="00522012" w:rsidP="00914805">
      <w:pPr>
        <w:pStyle w:val="ListParagraph"/>
        <w:numPr>
          <w:ilvl w:val="1"/>
          <w:numId w:val="3"/>
        </w:numPr>
        <w:rPr>
          <w:rFonts w:cstheme="minorHAnsi"/>
          <w:szCs w:val="24"/>
        </w:rPr>
      </w:pPr>
      <w:r w:rsidRPr="00BD7BCF">
        <w:rPr>
          <w:rFonts w:cstheme="minorHAnsi"/>
          <w:szCs w:val="24"/>
        </w:rPr>
        <w:t xml:space="preserve">The strategy is </w:t>
      </w:r>
      <w:r w:rsidR="000E3043" w:rsidRPr="00BD7BCF">
        <w:rPr>
          <w:rFonts w:cstheme="minorHAnsi"/>
          <w:szCs w:val="24"/>
        </w:rPr>
        <w:t>divided</w:t>
      </w:r>
      <w:r w:rsidRPr="00BD7BCF">
        <w:rPr>
          <w:rFonts w:cstheme="minorHAnsi"/>
          <w:szCs w:val="24"/>
        </w:rPr>
        <w:t xml:space="preserve"> in</w:t>
      </w:r>
      <w:r w:rsidR="001D04C9">
        <w:rPr>
          <w:rFonts w:cstheme="minorHAnsi"/>
          <w:szCs w:val="24"/>
        </w:rPr>
        <w:t>to</w:t>
      </w:r>
      <w:r w:rsidRPr="00BD7BCF">
        <w:rPr>
          <w:rFonts w:cstheme="minorHAnsi"/>
          <w:szCs w:val="24"/>
        </w:rPr>
        <w:t xml:space="preserve"> four </w:t>
      </w:r>
      <w:r w:rsidR="000E3043" w:rsidRPr="00BD7BCF">
        <w:rPr>
          <w:rFonts w:cstheme="minorHAnsi"/>
          <w:szCs w:val="24"/>
        </w:rPr>
        <w:t>priority areas:</w:t>
      </w:r>
    </w:p>
    <w:p w14:paraId="77365FA2" w14:textId="17C33D2E" w:rsidR="000E3043" w:rsidRDefault="000E3043" w:rsidP="00914805">
      <w:pPr>
        <w:pStyle w:val="ListParagraph"/>
        <w:numPr>
          <w:ilvl w:val="0"/>
          <w:numId w:val="13"/>
        </w:numPr>
        <w:rPr>
          <w:rFonts w:cstheme="minorHAnsi"/>
          <w:szCs w:val="24"/>
        </w:rPr>
      </w:pPr>
      <w:r>
        <w:rPr>
          <w:rFonts w:cstheme="minorHAnsi"/>
          <w:szCs w:val="24"/>
        </w:rPr>
        <w:t>Skills and Employability</w:t>
      </w:r>
    </w:p>
    <w:p w14:paraId="2C40BBA4" w14:textId="4210446B" w:rsidR="000E3043" w:rsidRDefault="000E3043" w:rsidP="00914805">
      <w:pPr>
        <w:pStyle w:val="ListParagraph"/>
        <w:numPr>
          <w:ilvl w:val="0"/>
          <w:numId w:val="13"/>
        </w:numPr>
        <w:rPr>
          <w:rFonts w:cstheme="minorHAnsi"/>
          <w:szCs w:val="24"/>
        </w:rPr>
      </w:pPr>
      <w:r>
        <w:rPr>
          <w:rFonts w:cstheme="minorHAnsi"/>
          <w:szCs w:val="24"/>
        </w:rPr>
        <w:t>Business Growth and Job Creation</w:t>
      </w:r>
    </w:p>
    <w:p w14:paraId="5D7BBB25" w14:textId="4E1ADBBA" w:rsidR="000E3043" w:rsidRDefault="000E3043" w:rsidP="00914805">
      <w:pPr>
        <w:pStyle w:val="ListParagraph"/>
        <w:numPr>
          <w:ilvl w:val="0"/>
          <w:numId w:val="13"/>
        </w:numPr>
        <w:rPr>
          <w:rFonts w:cstheme="minorHAnsi"/>
          <w:szCs w:val="24"/>
        </w:rPr>
      </w:pPr>
      <w:r>
        <w:rPr>
          <w:rFonts w:cstheme="minorHAnsi"/>
          <w:szCs w:val="24"/>
        </w:rPr>
        <w:t>High Streets</w:t>
      </w:r>
    </w:p>
    <w:p w14:paraId="0F791D73" w14:textId="28741237" w:rsidR="000E3043" w:rsidRPr="000E3043" w:rsidRDefault="000E3043" w:rsidP="00914805">
      <w:pPr>
        <w:pStyle w:val="ListParagraph"/>
        <w:numPr>
          <w:ilvl w:val="0"/>
          <w:numId w:val="13"/>
        </w:numPr>
        <w:rPr>
          <w:rFonts w:cstheme="minorHAnsi"/>
          <w:szCs w:val="24"/>
        </w:rPr>
      </w:pPr>
      <w:r>
        <w:rPr>
          <w:rFonts w:cstheme="minorHAnsi"/>
          <w:szCs w:val="24"/>
        </w:rPr>
        <w:t xml:space="preserve">Partnership Working </w:t>
      </w:r>
    </w:p>
    <w:p w14:paraId="2E5712CE" w14:textId="77777777" w:rsidR="00E53751" w:rsidRDefault="00E53751" w:rsidP="001759B9">
      <w:pPr>
        <w:rPr>
          <w:rFonts w:cstheme="minorHAnsi"/>
          <w:szCs w:val="24"/>
        </w:rPr>
      </w:pPr>
    </w:p>
    <w:p w14:paraId="0A078380" w14:textId="5F28B6D9" w:rsidR="00AD1E77" w:rsidRDefault="001C7E35" w:rsidP="00914805">
      <w:pPr>
        <w:pStyle w:val="Heading3"/>
        <w:numPr>
          <w:ilvl w:val="0"/>
          <w:numId w:val="3"/>
        </w:numPr>
        <w:spacing w:before="240"/>
        <w:jc w:val="left"/>
      </w:pPr>
      <w:r>
        <w:t xml:space="preserve">Options considered  </w:t>
      </w:r>
    </w:p>
    <w:p w14:paraId="387E6948" w14:textId="77777777" w:rsidR="009B7526" w:rsidRDefault="009B7526" w:rsidP="004F7F6F"/>
    <w:p w14:paraId="0A63AC98" w14:textId="243C4DB9" w:rsidR="004F7F6F" w:rsidRDefault="00C675A0" w:rsidP="004F7F6F">
      <w:pPr>
        <w:rPr>
          <w:rFonts w:cstheme="minorHAnsi"/>
          <w:szCs w:val="24"/>
        </w:rPr>
      </w:pPr>
      <w:r>
        <w:t xml:space="preserve">Option A To </w:t>
      </w:r>
      <w:r w:rsidR="004F7F6F">
        <w:t xml:space="preserve">approve the Harrow Economic Strategy 2023-2026, </w:t>
      </w:r>
      <w:r w:rsidR="00237590">
        <w:t xml:space="preserve">which </w:t>
      </w:r>
      <w:r w:rsidR="004F7F6F" w:rsidRPr="004A63F4">
        <w:rPr>
          <w:rFonts w:cstheme="minorHAnsi"/>
          <w:szCs w:val="24"/>
        </w:rPr>
        <w:t>pulls together the opportunities to support the local economy, generate skills, employment and apprenticeships.</w:t>
      </w:r>
    </w:p>
    <w:p w14:paraId="109C6AC4" w14:textId="294A4E93" w:rsidR="00C675A0" w:rsidRDefault="00C675A0" w:rsidP="00C675A0"/>
    <w:p w14:paraId="5BB88BB0" w14:textId="70841707" w:rsidR="00237590" w:rsidRDefault="00C675A0" w:rsidP="00237590">
      <w:r>
        <w:t>Option B To do nothing</w:t>
      </w:r>
      <w:r w:rsidR="00237590">
        <w:t xml:space="preserve">, do not have an Economic Strategy for Harrow. </w:t>
      </w:r>
    </w:p>
    <w:p w14:paraId="5D089B1E" w14:textId="4DF71D48" w:rsidR="00333FAA" w:rsidRDefault="00333FAA" w:rsidP="00914805">
      <w:pPr>
        <w:pStyle w:val="Heading2"/>
        <w:numPr>
          <w:ilvl w:val="0"/>
          <w:numId w:val="3"/>
        </w:numPr>
        <w:spacing w:before="240"/>
        <w:rPr>
          <w:rFonts w:ascii="Arial" w:hAnsi="Arial"/>
          <w:color w:val="000000" w:themeColor="text1"/>
          <w:sz w:val="28"/>
          <w:szCs w:val="28"/>
        </w:rPr>
      </w:pPr>
      <w:r w:rsidRPr="009B7526">
        <w:rPr>
          <w:rFonts w:ascii="Arial" w:hAnsi="Arial"/>
          <w:color w:val="000000" w:themeColor="text1"/>
          <w:sz w:val="28"/>
          <w:szCs w:val="28"/>
        </w:rPr>
        <w:t>Background</w:t>
      </w:r>
    </w:p>
    <w:p w14:paraId="293A6235" w14:textId="77777777" w:rsidR="00A46CE8" w:rsidRDefault="00A46CE8" w:rsidP="00A46CE8"/>
    <w:p w14:paraId="78CD55FC" w14:textId="77777777" w:rsidR="00713316" w:rsidRDefault="00A46CE8" w:rsidP="00914805">
      <w:pPr>
        <w:pStyle w:val="ListParagraph"/>
        <w:numPr>
          <w:ilvl w:val="1"/>
          <w:numId w:val="3"/>
        </w:numPr>
      </w:pPr>
      <w:r>
        <w:lastRenderedPageBreak/>
        <w:t>The Economic Strategy is written in the context of Harrow’s economic characteristics, its opportunities</w:t>
      </w:r>
      <w:r w:rsidR="00EC3026">
        <w:t xml:space="preserve"> and challenges and the need to deliver priorities to help to address the cost-of-living crisis. </w:t>
      </w:r>
    </w:p>
    <w:p w14:paraId="6284FFE9" w14:textId="77777777" w:rsidR="00713316" w:rsidRDefault="00713316" w:rsidP="00713316">
      <w:pPr>
        <w:pStyle w:val="ListParagraph"/>
        <w:ind w:left="543"/>
      </w:pPr>
    </w:p>
    <w:p w14:paraId="42319184" w14:textId="3BA4273E" w:rsidR="006C05F4" w:rsidRPr="008254B8" w:rsidRDefault="00713316" w:rsidP="00914805">
      <w:pPr>
        <w:pStyle w:val="ListParagraph"/>
        <w:numPr>
          <w:ilvl w:val="1"/>
          <w:numId w:val="3"/>
        </w:numPr>
        <w:rPr>
          <w:szCs w:val="24"/>
        </w:rPr>
      </w:pPr>
      <w:r w:rsidRPr="008254B8">
        <w:rPr>
          <w:szCs w:val="24"/>
        </w:rPr>
        <w:t>T</w:t>
      </w:r>
      <w:r w:rsidR="009D5CF4" w:rsidRPr="008254B8">
        <w:rPr>
          <w:szCs w:val="24"/>
        </w:rPr>
        <w:t>he</w:t>
      </w:r>
      <w:r w:rsidRPr="008254B8">
        <w:rPr>
          <w:szCs w:val="24"/>
        </w:rPr>
        <w:t xml:space="preserve"> strateg</w:t>
      </w:r>
      <w:r w:rsidR="009D5CF4" w:rsidRPr="008254B8">
        <w:rPr>
          <w:szCs w:val="24"/>
        </w:rPr>
        <w:t>y was developed with</w:t>
      </w:r>
      <w:r w:rsidR="00C96756" w:rsidRPr="008254B8">
        <w:rPr>
          <w:szCs w:val="24"/>
        </w:rPr>
        <w:t xml:space="preserve"> </w:t>
      </w:r>
      <w:r w:rsidR="00372162" w:rsidRPr="008254B8">
        <w:rPr>
          <w:szCs w:val="24"/>
        </w:rPr>
        <w:t xml:space="preserve">the </w:t>
      </w:r>
      <w:r w:rsidR="00C96756" w:rsidRPr="008254B8">
        <w:rPr>
          <w:szCs w:val="24"/>
        </w:rPr>
        <w:t>input of key stakeholders and partners</w:t>
      </w:r>
      <w:r w:rsidRPr="008254B8">
        <w:rPr>
          <w:szCs w:val="24"/>
        </w:rPr>
        <w:t xml:space="preserve"> </w:t>
      </w:r>
      <w:r w:rsidR="00DE7493" w:rsidRPr="008254B8">
        <w:rPr>
          <w:szCs w:val="24"/>
        </w:rPr>
        <w:t xml:space="preserve">some which are named within the strategy and </w:t>
      </w:r>
      <w:r w:rsidR="00AF199B" w:rsidRPr="008254B8">
        <w:rPr>
          <w:szCs w:val="24"/>
        </w:rPr>
        <w:t xml:space="preserve">listed against objectives under each of the </w:t>
      </w:r>
      <w:r w:rsidR="00E442A1">
        <w:rPr>
          <w:szCs w:val="24"/>
        </w:rPr>
        <w:t>four</w:t>
      </w:r>
      <w:r w:rsidR="00AF199B" w:rsidRPr="008254B8">
        <w:rPr>
          <w:szCs w:val="24"/>
        </w:rPr>
        <w:t xml:space="preserve"> priority areas</w:t>
      </w:r>
      <w:r w:rsidR="00F64461" w:rsidRPr="008254B8">
        <w:rPr>
          <w:szCs w:val="24"/>
        </w:rPr>
        <w:t xml:space="preserve"> including Harrow College, Stanmore College, </w:t>
      </w:r>
      <w:r w:rsidR="005E28CB" w:rsidRPr="008254B8">
        <w:rPr>
          <w:szCs w:val="24"/>
        </w:rPr>
        <w:t xml:space="preserve">HA1 BID, </w:t>
      </w:r>
      <w:r w:rsidR="006B619D" w:rsidRPr="008254B8">
        <w:rPr>
          <w:szCs w:val="24"/>
        </w:rPr>
        <w:t>Shaw Trust, Young Harrow Foundation,</w:t>
      </w:r>
      <w:r w:rsidR="009D3100" w:rsidRPr="008254B8">
        <w:rPr>
          <w:szCs w:val="24"/>
        </w:rPr>
        <w:t xml:space="preserve"> </w:t>
      </w:r>
      <w:r w:rsidR="009D3100" w:rsidRPr="008254B8">
        <w:rPr>
          <w:rFonts w:cs="Arial"/>
          <w:szCs w:val="24"/>
        </w:rPr>
        <w:t>Voluntary Action Harrow Co-op,</w:t>
      </w:r>
      <w:r w:rsidR="006B619D" w:rsidRPr="008254B8">
        <w:rPr>
          <w:szCs w:val="24"/>
        </w:rPr>
        <w:t xml:space="preserve"> Ignite Youth, </w:t>
      </w:r>
      <w:r w:rsidR="008254B8" w:rsidRPr="008254B8">
        <w:rPr>
          <w:szCs w:val="24"/>
        </w:rPr>
        <w:t xml:space="preserve">Harrow Voluntary Community Sector Forum, </w:t>
      </w:r>
      <w:r w:rsidR="00326359" w:rsidRPr="008254B8">
        <w:rPr>
          <w:szCs w:val="24"/>
        </w:rPr>
        <w:t xml:space="preserve">Job Centre, </w:t>
      </w:r>
      <w:r w:rsidR="005E28CB" w:rsidRPr="008254B8">
        <w:rPr>
          <w:szCs w:val="24"/>
        </w:rPr>
        <w:t>Federation of Small Business</w:t>
      </w:r>
      <w:r w:rsidR="006B619D" w:rsidRPr="008254B8">
        <w:rPr>
          <w:szCs w:val="24"/>
        </w:rPr>
        <w:t xml:space="preserve">es, North-west London Chamber of Commerce, </w:t>
      </w:r>
      <w:r w:rsidR="00FE2506" w:rsidRPr="008254B8">
        <w:rPr>
          <w:szCs w:val="24"/>
        </w:rPr>
        <w:t xml:space="preserve">London Business Partnership, NHS, </w:t>
      </w:r>
      <w:r w:rsidR="009D3100" w:rsidRPr="008254B8">
        <w:rPr>
          <w:szCs w:val="24"/>
        </w:rPr>
        <w:t xml:space="preserve">Wates, West London Alliance, West London Business and Greater London Authority. </w:t>
      </w:r>
    </w:p>
    <w:p w14:paraId="02A8498D" w14:textId="77777777" w:rsidR="006C05F4" w:rsidRPr="006C05F4" w:rsidRDefault="006C05F4" w:rsidP="006C05F4">
      <w:pPr>
        <w:pStyle w:val="ListParagraph"/>
        <w:rPr>
          <w:szCs w:val="24"/>
        </w:rPr>
      </w:pPr>
    </w:p>
    <w:p w14:paraId="4318A4A9" w14:textId="0A24D5FA" w:rsidR="00713316" w:rsidRPr="00713316" w:rsidRDefault="00AF199B" w:rsidP="00914805">
      <w:pPr>
        <w:pStyle w:val="ListParagraph"/>
        <w:numPr>
          <w:ilvl w:val="1"/>
          <w:numId w:val="3"/>
        </w:numPr>
        <w:rPr>
          <w:szCs w:val="24"/>
        </w:rPr>
      </w:pPr>
      <w:r>
        <w:rPr>
          <w:szCs w:val="24"/>
        </w:rPr>
        <w:t>This strategic ali</w:t>
      </w:r>
      <w:r w:rsidR="009923D6">
        <w:rPr>
          <w:szCs w:val="24"/>
        </w:rPr>
        <w:t xml:space="preserve">gnment </w:t>
      </w:r>
      <w:r w:rsidR="002657E2" w:rsidRPr="002657E2">
        <w:rPr>
          <w:szCs w:val="24"/>
        </w:rPr>
        <w:t>will support the Council and its partners</w:t>
      </w:r>
      <w:r w:rsidR="002657E2">
        <w:rPr>
          <w:szCs w:val="24"/>
        </w:rPr>
        <w:t xml:space="preserve"> to </w:t>
      </w:r>
      <w:r w:rsidR="00713316" w:rsidRPr="00713316">
        <w:rPr>
          <w:szCs w:val="24"/>
        </w:rPr>
        <w:t xml:space="preserve">maximise our ability to ensure Harrow’s residents and businesses benefit from </w:t>
      </w:r>
      <w:r w:rsidR="00854337">
        <w:rPr>
          <w:szCs w:val="24"/>
        </w:rPr>
        <w:t xml:space="preserve">better </w:t>
      </w:r>
      <w:r w:rsidR="00DA7176">
        <w:rPr>
          <w:szCs w:val="24"/>
        </w:rPr>
        <w:t xml:space="preserve">co-ordinated </w:t>
      </w:r>
      <w:r w:rsidR="00183D62">
        <w:rPr>
          <w:szCs w:val="24"/>
        </w:rPr>
        <w:t>deliver</w:t>
      </w:r>
      <w:r w:rsidR="00854337">
        <w:rPr>
          <w:szCs w:val="24"/>
        </w:rPr>
        <w:t>y</w:t>
      </w:r>
      <w:r w:rsidR="00183D62">
        <w:rPr>
          <w:szCs w:val="24"/>
        </w:rPr>
        <w:t xml:space="preserve"> </w:t>
      </w:r>
      <w:r w:rsidR="006F778E">
        <w:rPr>
          <w:szCs w:val="24"/>
        </w:rPr>
        <w:t xml:space="preserve">of </w:t>
      </w:r>
      <w:r w:rsidR="00183D62">
        <w:rPr>
          <w:szCs w:val="24"/>
        </w:rPr>
        <w:t xml:space="preserve">support </w:t>
      </w:r>
      <w:r w:rsidR="006F778E">
        <w:rPr>
          <w:szCs w:val="24"/>
        </w:rPr>
        <w:t>programmes to boost the local economy</w:t>
      </w:r>
      <w:r w:rsidR="00183D62">
        <w:rPr>
          <w:szCs w:val="24"/>
        </w:rPr>
        <w:t xml:space="preserve">. </w:t>
      </w:r>
    </w:p>
    <w:p w14:paraId="57AF41D7" w14:textId="77777777" w:rsidR="00EC3026" w:rsidRDefault="00EC3026" w:rsidP="00A0407D"/>
    <w:p w14:paraId="114BC954" w14:textId="7CC54F9A" w:rsidR="009B7526" w:rsidRPr="009B7526" w:rsidRDefault="009B7526" w:rsidP="00914805">
      <w:pPr>
        <w:pStyle w:val="ListParagraph"/>
        <w:numPr>
          <w:ilvl w:val="1"/>
          <w:numId w:val="3"/>
        </w:numPr>
      </w:pPr>
      <w:r>
        <w:t>The strategy also directly supports other key related strategies including the Council’s Health and Wellbeing Strategy and Climate Strategy, with a focus on developing a thriving local low carbon and low waste economy.</w:t>
      </w:r>
    </w:p>
    <w:p w14:paraId="3F06A60F" w14:textId="77777777" w:rsidR="00713316" w:rsidRDefault="00713316" w:rsidP="00333FAA">
      <w:pPr>
        <w:pStyle w:val="Heading2"/>
        <w:rPr>
          <w:rFonts w:ascii="Arial" w:hAnsi="Arial"/>
          <w:color w:val="0000FF"/>
          <w:sz w:val="28"/>
          <w:szCs w:val="28"/>
        </w:rPr>
      </w:pPr>
    </w:p>
    <w:p w14:paraId="0E637316" w14:textId="7119E0DD" w:rsidR="00333FAA" w:rsidRPr="00454340" w:rsidRDefault="00333FAA" w:rsidP="00914805">
      <w:pPr>
        <w:pStyle w:val="Heading2"/>
        <w:numPr>
          <w:ilvl w:val="0"/>
          <w:numId w:val="3"/>
        </w:numPr>
        <w:rPr>
          <w:rFonts w:ascii="Arial" w:hAnsi="Arial"/>
          <w:color w:val="000000" w:themeColor="text1"/>
          <w:sz w:val="28"/>
          <w:szCs w:val="28"/>
        </w:rPr>
      </w:pPr>
      <w:r w:rsidRPr="00454340">
        <w:rPr>
          <w:rFonts w:ascii="Arial" w:hAnsi="Arial"/>
          <w:color w:val="000000" w:themeColor="text1"/>
          <w:sz w:val="28"/>
          <w:szCs w:val="28"/>
        </w:rPr>
        <w:t>Current situation</w:t>
      </w:r>
    </w:p>
    <w:p w14:paraId="55715A33" w14:textId="77777777" w:rsidR="00372162" w:rsidRDefault="00372162" w:rsidP="00454340"/>
    <w:p w14:paraId="351DF50B" w14:textId="28332AE1" w:rsidR="00B41C47" w:rsidRPr="00372162" w:rsidRDefault="00454340" w:rsidP="00914805">
      <w:pPr>
        <w:pStyle w:val="ListParagraph"/>
        <w:numPr>
          <w:ilvl w:val="1"/>
          <w:numId w:val="3"/>
        </w:numPr>
      </w:pPr>
      <w:r w:rsidRPr="00372162">
        <w:rPr>
          <w:rFonts w:cstheme="minorHAnsi"/>
          <w:szCs w:val="24"/>
        </w:rPr>
        <w:t>Harrow has a resident population of around 261,300 (Census 2021)</w:t>
      </w:r>
      <w:r w:rsidRPr="00362FEF">
        <w:rPr>
          <w:vertAlign w:val="superscript"/>
        </w:rPr>
        <w:footnoteReference w:id="1"/>
      </w:r>
      <w:r w:rsidRPr="00372162">
        <w:rPr>
          <w:rFonts w:cstheme="minorHAnsi"/>
          <w:szCs w:val="24"/>
        </w:rPr>
        <w:t xml:space="preserve">. In the ten years between 2011 and 2021 we have seen some significant </w:t>
      </w:r>
    </w:p>
    <w:p w14:paraId="46C0C3F9" w14:textId="5B1AFB0C" w:rsidR="00454340" w:rsidRDefault="00454340" w:rsidP="003B7E7D">
      <w:pPr>
        <w:ind w:firstLine="543"/>
        <w:rPr>
          <w:rFonts w:cstheme="minorHAnsi"/>
          <w:szCs w:val="24"/>
        </w:rPr>
      </w:pPr>
      <w:r w:rsidRPr="00A94CAD">
        <w:rPr>
          <w:rFonts w:cstheme="minorHAnsi"/>
          <w:szCs w:val="24"/>
        </w:rPr>
        <w:t>changes in our population</w:t>
      </w:r>
      <w:r w:rsidR="00B41C47">
        <w:rPr>
          <w:rFonts w:cstheme="minorHAnsi"/>
          <w:szCs w:val="24"/>
        </w:rPr>
        <w:t>, as follows</w:t>
      </w:r>
      <w:r w:rsidRPr="00A94CAD">
        <w:rPr>
          <w:rFonts w:cstheme="minorHAnsi"/>
          <w:szCs w:val="24"/>
        </w:rPr>
        <w:t>:</w:t>
      </w:r>
    </w:p>
    <w:p w14:paraId="6C2B0C75" w14:textId="77777777" w:rsidR="00454340" w:rsidRPr="00A82322" w:rsidRDefault="00454340" w:rsidP="00914805">
      <w:pPr>
        <w:pStyle w:val="ListParagraph"/>
        <w:numPr>
          <w:ilvl w:val="0"/>
          <w:numId w:val="5"/>
        </w:numPr>
        <w:spacing w:after="160" w:line="259" w:lineRule="auto"/>
        <w:contextualSpacing/>
        <w:rPr>
          <w:rFonts w:cstheme="minorHAnsi"/>
          <w:szCs w:val="24"/>
        </w:rPr>
      </w:pPr>
      <w:r w:rsidRPr="00A82322">
        <w:rPr>
          <w:rFonts w:cstheme="minorHAnsi"/>
          <w:szCs w:val="24"/>
        </w:rPr>
        <w:t>9.3% increase in the population</w:t>
      </w:r>
    </w:p>
    <w:p w14:paraId="4A89DF03" w14:textId="77777777" w:rsidR="00454340" w:rsidRPr="00A82322" w:rsidRDefault="00454340" w:rsidP="00914805">
      <w:pPr>
        <w:pStyle w:val="ListParagraph"/>
        <w:numPr>
          <w:ilvl w:val="0"/>
          <w:numId w:val="5"/>
        </w:numPr>
        <w:spacing w:after="160" w:line="259" w:lineRule="auto"/>
        <w:contextualSpacing/>
        <w:rPr>
          <w:rFonts w:cstheme="minorHAnsi"/>
          <w:szCs w:val="24"/>
        </w:rPr>
      </w:pPr>
      <w:r w:rsidRPr="00A82322">
        <w:rPr>
          <w:rFonts w:cstheme="minorHAnsi"/>
          <w:szCs w:val="24"/>
        </w:rPr>
        <w:t>7.8% increase in people aged 15 to 64 years, with 160k people of working age (61%)</w:t>
      </w:r>
    </w:p>
    <w:p w14:paraId="454DF9F0" w14:textId="42991BA4" w:rsidR="00372162" w:rsidRDefault="00454340" w:rsidP="00914805">
      <w:pPr>
        <w:pStyle w:val="ListParagraph"/>
        <w:numPr>
          <w:ilvl w:val="0"/>
          <w:numId w:val="5"/>
        </w:numPr>
        <w:spacing w:after="160" w:line="259" w:lineRule="auto"/>
        <w:contextualSpacing/>
        <w:rPr>
          <w:rFonts w:cstheme="minorHAnsi"/>
          <w:szCs w:val="24"/>
        </w:rPr>
      </w:pPr>
      <w:r w:rsidRPr="00A82322">
        <w:rPr>
          <w:rFonts w:cstheme="minorHAnsi"/>
          <w:szCs w:val="24"/>
        </w:rPr>
        <w:t>Growing younger population aged 0-15 of 18.5% (48,300), which is higher than the London average</w:t>
      </w:r>
    </w:p>
    <w:p w14:paraId="7D3F6F98" w14:textId="77777777" w:rsidR="00372162" w:rsidRPr="00372162" w:rsidRDefault="00372162" w:rsidP="00372162">
      <w:pPr>
        <w:pStyle w:val="ListParagraph"/>
        <w:spacing w:after="160" w:line="259" w:lineRule="auto"/>
        <w:contextualSpacing/>
        <w:rPr>
          <w:rFonts w:cstheme="minorHAnsi"/>
          <w:szCs w:val="24"/>
        </w:rPr>
      </w:pPr>
    </w:p>
    <w:p w14:paraId="706EED6E" w14:textId="0A00DA31" w:rsidR="00D33D61" w:rsidRPr="00372162" w:rsidRDefault="00D33D61" w:rsidP="00914805">
      <w:pPr>
        <w:pStyle w:val="ListParagraph"/>
        <w:numPr>
          <w:ilvl w:val="1"/>
          <w:numId w:val="3"/>
        </w:numPr>
        <w:spacing w:after="160" w:line="259" w:lineRule="auto"/>
        <w:contextualSpacing/>
        <w:rPr>
          <w:rFonts w:cstheme="minorHAnsi"/>
          <w:szCs w:val="24"/>
        </w:rPr>
      </w:pPr>
      <w:r w:rsidRPr="00372162">
        <w:rPr>
          <w:szCs w:val="24"/>
        </w:rPr>
        <w:t xml:space="preserve">The current </w:t>
      </w:r>
      <w:r w:rsidR="00B41C47" w:rsidRPr="00372162">
        <w:rPr>
          <w:szCs w:val="24"/>
        </w:rPr>
        <w:t>econom</w:t>
      </w:r>
      <w:r w:rsidR="00372162" w:rsidRPr="00372162">
        <w:rPr>
          <w:szCs w:val="24"/>
        </w:rPr>
        <w:t>ic c</w:t>
      </w:r>
      <w:r w:rsidRPr="00372162">
        <w:rPr>
          <w:szCs w:val="24"/>
        </w:rPr>
        <w:t xml:space="preserve">hallenges that the borough </w:t>
      </w:r>
      <w:r w:rsidR="00B41C47" w:rsidRPr="00372162">
        <w:rPr>
          <w:szCs w:val="24"/>
        </w:rPr>
        <w:t>is fac</w:t>
      </w:r>
      <w:r w:rsidR="00DA3209" w:rsidRPr="00372162">
        <w:rPr>
          <w:szCs w:val="24"/>
        </w:rPr>
        <w:t xml:space="preserve">ing </w:t>
      </w:r>
      <w:r w:rsidR="00B41C47" w:rsidRPr="00372162">
        <w:rPr>
          <w:szCs w:val="24"/>
        </w:rPr>
        <w:t>includes the following</w:t>
      </w:r>
      <w:r w:rsidRPr="00372162">
        <w:rPr>
          <w:szCs w:val="24"/>
        </w:rPr>
        <w:t>:</w:t>
      </w:r>
    </w:p>
    <w:p w14:paraId="0835CAC6" w14:textId="77777777" w:rsidR="00B41C47" w:rsidRPr="00B41C47" w:rsidRDefault="00B41C47" w:rsidP="00B41C47">
      <w:pPr>
        <w:pStyle w:val="ListParagraph"/>
        <w:ind w:left="360"/>
        <w:rPr>
          <w:szCs w:val="24"/>
        </w:rPr>
      </w:pPr>
    </w:p>
    <w:p w14:paraId="772CACEF" w14:textId="77777777" w:rsidR="00412ED5" w:rsidRDefault="00412ED5" w:rsidP="00914805">
      <w:pPr>
        <w:pStyle w:val="ListParagraph"/>
        <w:numPr>
          <w:ilvl w:val="0"/>
          <w:numId w:val="7"/>
        </w:numPr>
        <w:spacing w:after="160" w:line="259" w:lineRule="auto"/>
        <w:rPr>
          <w:rFonts w:cstheme="minorHAnsi"/>
          <w:szCs w:val="24"/>
        </w:rPr>
      </w:pPr>
      <w:r>
        <w:rPr>
          <w:rFonts w:cstheme="minorHAnsi"/>
          <w:szCs w:val="24"/>
        </w:rPr>
        <w:t>17.4% of Harrow residents have no qualifications and are furthest away from the job market</w:t>
      </w:r>
      <w:r>
        <w:rPr>
          <w:rStyle w:val="FootnoteReference"/>
          <w:rFonts w:cstheme="minorHAnsi"/>
          <w:szCs w:val="24"/>
        </w:rPr>
        <w:footnoteReference w:id="2"/>
      </w:r>
      <w:r>
        <w:rPr>
          <w:rFonts w:cstheme="minorHAnsi"/>
          <w:szCs w:val="24"/>
        </w:rPr>
        <w:t>. This is higher than the London average and presents a need for more support with entry level qualifications including GCSE level English and Maths.</w:t>
      </w:r>
    </w:p>
    <w:p w14:paraId="07F351FA" w14:textId="77777777" w:rsidR="00412ED5" w:rsidRDefault="00412ED5" w:rsidP="00914805">
      <w:pPr>
        <w:numPr>
          <w:ilvl w:val="0"/>
          <w:numId w:val="7"/>
        </w:numPr>
        <w:spacing w:after="160" w:line="259" w:lineRule="auto"/>
        <w:rPr>
          <w:rFonts w:cstheme="minorHAnsi"/>
          <w:szCs w:val="24"/>
        </w:rPr>
      </w:pPr>
      <w:r>
        <w:rPr>
          <w:rFonts w:cstheme="minorHAnsi"/>
          <w:szCs w:val="24"/>
        </w:rPr>
        <w:t>Black, Asian and Multi-ethnic</w:t>
      </w:r>
      <w:r w:rsidRPr="00587641">
        <w:rPr>
          <w:rFonts w:cstheme="minorHAnsi"/>
          <w:szCs w:val="24"/>
        </w:rPr>
        <w:t xml:space="preserve"> residents are more likely to experience barriers to employment due to lack of English language, functional and digital skills</w:t>
      </w:r>
      <w:r>
        <w:rPr>
          <w:rFonts w:cstheme="minorHAnsi"/>
          <w:szCs w:val="24"/>
        </w:rPr>
        <w:t>.</w:t>
      </w:r>
    </w:p>
    <w:p w14:paraId="1C9C8EC2" w14:textId="05A9078B" w:rsidR="00412ED5" w:rsidRDefault="00412ED5" w:rsidP="00914805">
      <w:pPr>
        <w:numPr>
          <w:ilvl w:val="0"/>
          <w:numId w:val="6"/>
        </w:numPr>
        <w:spacing w:after="160" w:line="259" w:lineRule="auto"/>
        <w:rPr>
          <w:rFonts w:cstheme="minorHAnsi"/>
          <w:szCs w:val="24"/>
        </w:rPr>
      </w:pPr>
      <w:r w:rsidRPr="008F4808">
        <w:rPr>
          <w:rFonts w:cstheme="minorHAnsi"/>
          <w:szCs w:val="24"/>
        </w:rPr>
        <w:lastRenderedPageBreak/>
        <w:t xml:space="preserve">Job </w:t>
      </w:r>
      <w:r>
        <w:rPr>
          <w:rFonts w:cstheme="minorHAnsi"/>
          <w:szCs w:val="24"/>
        </w:rPr>
        <w:t>d</w:t>
      </w:r>
      <w:r w:rsidRPr="008F4808">
        <w:rPr>
          <w:rFonts w:cstheme="minorHAnsi"/>
          <w:szCs w:val="24"/>
        </w:rPr>
        <w:t xml:space="preserve">ensity </w:t>
      </w:r>
      <w:r>
        <w:rPr>
          <w:rFonts w:cstheme="minorHAnsi"/>
          <w:szCs w:val="24"/>
        </w:rPr>
        <w:t>measures the number of jobs per working age resident and in 2021 the figure for Harrow was 0.50</w:t>
      </w:r>
      <w:r>
        <w:rPr>
          <w:rStyle w:val="FootnoteReference"/>
          <w:rFonts w:cstheme="minorHAnsi"/>
          <w:szCs w:val="24"/>
        </w:rPr>
        <w:footnoteReference w:id="3"/>
      </w:r>
      <w:r>
        <w:rPr>
          <w:rFonts w:cstheme="minorHAnsi"/>
          <w:szCs w:val="24"/>
        </w:rPr>
        <w:t>. This is significantly lower than neighbouring boroughs and is the lowest in the West London Alliance region.</w:t>
      </w:r>
    </w:p>
    <w:p w14:paraId="3D1D5F06" w14:textId="77777777" w:rsidR="00412ED5" w:rsidRDefault="00412ED5" w:rsidP="00914805">
      <w:pPr>
        <w:pStyle w:val="ListParagraph"/>
        <w:numPr>
          <w:ilvl w:val="0"/>
          <w:numId w:val="7"/>
        </w:numPr>
        <w:spacing w:after="160" w:line="259" w:lineRule="auto"/>
        <w:rPr>
          <w:rFonts w:cstheme="minorHAnsi"/>
          <w:szCs w:val="24"/>
          <w:lang w:val="en-US"/>
        </w:rPr>
      </w:pPr>
      <w:r w:rsidRPr="00A56E81">
        <w:rPr>
          <w:rFonts w:cstheme="minorHAnsi"/>
          <w:szCs w:val="24"/>
          <w:lang w:val="en-US"/>
        </w:rPr>
        <w:t>Harrow is a low wage borough, with all those that are employed in the borough earning gross weekly earnings of £514.20, which is 37% less than the London average of £815.9</w:t>
      </w:r>
      <w:r>
        <w:rPr>
          <w:rFonts w:cstheme="minorHAnsi"/>
          <w:szCs w:val="24"/>
          <w:lang w:val="en-US"/>
        </w:rPr>
        <w:t>0</w:t>
      </w:r>
      <w:r w:rsidRPr="00A56E81">
        <w:rPr>
          <w:rFonts w:cstheme="minorHAnsi"/>
          <w:szCs w:val="24"/>
          <w:lang w:val="en-US"/>
        </w:rPr>
        <w:t xml:space="preserve">. Women in the borough </w:t>
      </w:r>
      <w:r>
        <w:rPr>
          <w:rFonts w:cstheme="minorHAnsi"/>
          <w:szCs w:val="24"/>
          <w:lang w:val="en-US"/>
        </w:rPr>
        <w:t xml:space="preserve">have </w:t>
      </w:r>
      <w:r w:rsidRPr="00A56E81">
        <w:rPr>
          <w:rFonts w:cstheme="minorHAnsi"/>
          <w:szCs w:val="24"/>
          <w:lang w:val="en-US"/>
        </w:rPr>
        <w:t xml:space="preserve">gross weekly earnings </w:t>
      </w:r>
      <w:r>
        <w:rPr>
          <w:rFonts w:cstheme="minorHAnsi"/>
          <w:szCs w:val="24"/>
          <w:lang w:val="en-US"/>
        </w:rPr>
        <w:t xml:space="preserve">of </w:t>
      </w:r>
      <w:r w:rsidRPr="00A56E81">
        <w:rPr>
          <w:rFonts w:cstheme="minorHAnsi"/>
          <w:szCs w:val="24"/>
          <w:lang w:val="en-US"/>
        </w:rPr>
        <w:t>£485.90</w:t>
      </w:r>
      <w:r>
        <w:rPr>
          <w:rFonts w:cstheme="minorHAnsi"/>
          <w:szCs w:val="24"/>
          <w:lang w:val="en-US"/>
        </w:rPr>
        <w:t xml:space="preserve"> and m</w:t>
      </w:r>
      <w:r w:rsidRPr="00A56E81">
        <w:rPr>
          <w:rFonts w:cstheme="minorHAnsi"/>
          <w:szCs w:val="24"/>
          <w:lang w:val="en-US"/>
        </w:rPr>
        <w:t>en in the borough earn £615.</w:t>
      </w:r>
      <w:r>
        <w:rPr>
          <w:rFonts w:cstheme="minorHAnsi"/>
          <w:szCs w:val="24"/>
          <w:lang w:val="en-US"/>
        </w:rPr>
        <w:t>00. The London average earnings for women is £669.20 and for men it is £935.10</w:t>
      </w:r>
      <w:r>
        <w:rPr>
          <w:rStyle w:val="FootnoteReference"/>
          <w:rFonts w:cstheme="minorHAnsi"/>
          <w:szCs w:val="24"/>
          <w:lang w:val="en-US"/>
        </w:rPr>
        <w:footnoteReference w:id="4"/>
      </w:r>
      <w:r>
        <w:rPr>
          <w:rFonts w:cstheme="minorHAnsi"/>
          <w:szCs w:val="24"/>
          <w:lang w:val="en-US"/>
        </w:rPr>
        <w:t>.</w:t>
      </w:r>
    </w:p>
    <w:p w14:paraId="2AD34C03" w14:textId="2C9D8B0E" w:rsidR="00412ED5" w:rsidRDefault="00412ED5" w:rsidP="00914805">
      <w:pPr>
        <w:pStyle w:val="ListParagraph"/>
        <w:numPr>
          <w:ilvl w:val="0"/>
          <w:numId w:val="7"/>
        </w:numPr>
        <w:spacing w:after="160" w:line="259" w:lineRule="auto"/>
        <w:rPr>
          <w:szCs w:val="24"/>
        </w:rPr>
      </w:pPr>
      <w:r w:rsidRPr="10534032">
        <w:rPr>
          <w:szCs w:val="24"/>
        </w:rPr>
        <w:t xml:space="preserve">Harrow’s business base is predominantly micro-businesses; this means that most employee jobs are provided by a small number of larger employers. Of the 15,000 businesses operating only </w:t>
      </w:r>
      <w:r>
        <w:rPr>
          <w:szCs w:val="24"/>
        </w:rPr>
        <w:t xml:space="preserve">102 </w:t>
      </w:r>
      <w:r w:rsidRPr="10534032">
        <w:rPr>
          <w:szCs w:val="24"/>
        </w:rPr>
        <w:t>employ 100 people or more, this equates to just 0.6</w:t>
      </w:r>
      <w:r>
        <w:rPr>
          <w:szCs w:val="24"/>
        </w:rPr>
        <w:t>8</w:t>
      </w:r>
      <w:r w:rsidRPr="10534032">
        <w:rPr>
          <w:szCs w:val="24"/>
        </w:rPr>
        <w:t>% of the business base</w:t>
      </w:r>
      <w:r w:rsidRPr="10534032">
        <w:rPr>
          <w:rStyle w:val="FootnoteReference"/>
          <w:szCs w:val="24"/>
        </w:rPr>
        <w:footnoteReference w:id="5"/>
      </w:r>
      <w:r>
        <w:rPr>
          <w:szCs w:val="24"/>
        </w:rPr>
        <w:t>.</w:t>
      </w:r>
      <w:r w:rsidR="00705A5F">
        <w:rPr>
          <w:szCs w:val="24"/>
        </w:rPr>
        <w:t xml:space="preserve"> </w:t>
      </w:r>
    </w:p>
    <w:p w14:paraId="1842CA71" w14:textId="77777777" w:rsidR="00333FAA" w:rsidRPr="00F06E4E" w:rsidRDefault="00333FAA" w:rsidP="00333FAA">
      <w:pPr>
        <w:rPr>
          <w:rFonts w:cs="Arial"/>
          <w:color w:val="0000FF"/>
          <w:sz w:val="28"/>
          <w:szCs w:val="28"/>
        </w:rPr>
      </w:pPr>
    </w:p>
    <w:p w14:paraId="555D1469" w14:textId="62BC0696" w:rsidR="00333FAA" w:rsidRDefault="00333FAA" w:rsidP="00914805">
      <w:pPr>
        <w:pStyle w:val="Heading2"/>
        <w:numPr>
          <w:ilvl w:val="0"/>
          <w:numId w:val="3"/>
        </w:numPr>
        <w:rPr>
          <w:rFonts w:ascii="Arial" w:hAnsi="Arial"/>
          <w:color w:val="000000" w:themeColor="text1"/>
          <w:sz w:val="28"/>
          <w:szCs w:val="28"/>
        </w:rPr>
      </w:pPr>
      <w:r w:rsidRPr="00AD3B6A">
        <w:rPr>
          <w:rFonts w:ascii="Arial" w:hAnsi="Arial"/>
          <w:color w:val="000000" w:themeColor="text1"/>
          <w:sz w:val="28"/>
          <w:szCs w:val="28"/>
        </w:rPr>
        <w:t>Why a change is needed</w:t>
      </w:r>
    </w:p>
    <w:p w14:paraId="768D9611" w14:textId="77777777" w:rsidR="00B41C47" w:rsidRDefault="00B41C47" w:rsidP="00B41C47"/>
    <w:p w14:paraId="5486D9D4" w14:textId="7D0ED7B8" w:rsidR="008420A4" w:rsidRPr="008420A4" w:rsidRDefault="00B41C47" w:rsidP="00914805">
      <w:pPr>
        <w:pStyle w:val="ListParagraph"/>
        <w:numPr>
          <w:ilvl w:val="1"/>
          <w:numId w:val="3"/>
        </w:numPr>
        <w:rPr>
          <w:rFonts w:cstheme="minorHAnsi"/>
          <w:szCs w:val="24"/>
        </w:rPr>
      </w:pPr>
      <w:r>
        <w:t xml:space="preserve">The Economic Strategy </w:t>
      </w:r>
      <w:r w:rsidR="008420A4">
        <w:t xml:space="preserve">aligns with the Council’s corporate priorities </w:t>
      </w:r>
      <w:r w:rsidR="00C26C58">
        <w:t xml:space="preserve">and is driven by objectives, baseline </w:t>
      </w:r>
      <w:r w:rsidR="00122879">
        <w:t>measures</w:t>
      </w:r>
      <w:r w:rsidR="00C26C58">
        <w:t>, targets and key performance indicators.</w:t>
      </w:r>
      <w:r w:rsidR="00AF4FD0">
        <w:t xml:space="preserve"> </w:t>
      </w:r>
    </w:p>
    <w:p w14:paraId="6DAA21B1" w14:textId="77777777" w:rsidR="008420A4" w:rsidRPr="008420A4" w:rsidRDefault="008420A4" w:rsidP="008420A4">
      <w:pPr>
        <w:pStyle w:val="ListParagraph"/>
        <w:ind w:left="543"/>
        <w:rPr>
          <w:rFonts w:cstheme="minorHAnsi"/>
          <w:szCs w:val="24"/>
        </w:rPr>
      </w:pPr>
    </w:p>
    <w:p w14:paraId="0B6565A4" w14:textId="6562AB18" w:rsidR="00AF4FD0" w:rsidRPr="002F64D7" w:rsidRDefault="00122879" w:rsidP="00914805">
      <w:pPr>
        <w:pStyle w:val="ListParagraph"/>
        <w:numPr>
          <w:ilvl w:val="1"/>
          <w:numId w:val="3"/>
        </w:numPr>
        <w:rPr>
          <w:rFonts w:cstheme="minorHAnsi"/>
          <w:szCs w:val="24"/>
        </w:rPr>
      </w:pPr>
      <w:r>
        <w:rPr>
          <w:rFonts w:cstheme="minorHAnsi"/>
          <w:szCs w:val="24"/>
        </w:rPr>
        <w:t xml:space="preserve">The </w:t>
      </w:r>
      <w:r w:rsidR="00DA3209">
        <w:rPr>
          <w:rFonts w:cstheme="minorHAnsi"/>
          <w:szCs w:val="24"/>
        </w:rPr>
        <w:t>O</w:t>
      </w:r>
      <w:r w:rsidR="00AF4FD0" w:rsidRPr="002F64D7">
        <w:rPr>
          <w:rFonts w:cstheme="minorHAnsi"/>
          <w:szCs w:val="24"/>
        </w:rPr>
        <w:t xml:space="preserve">pportunities </w:t>
      </w:r>
      <w:r>
        <w:rPr>
          <w:rFonts w:cstheme="minorHAnsi"/>
          <w:szCs w:val="24"/>
        </w:rPr>
        <w:t>that have been identified with</w:t>
      </w:r>
      <w:r w:rsidR="00372162">
        <w:rPr>
          <w:rFonts w:cstheme="minorHAnsi"/>
          <w:szCs w:val="24"/>
        </w:rPr>
        <w:t>in</w:t>
      </w:r>
      <w:r>
        <w:rPr>
          <w:rFonts w:cstheme="minorHAnsi"/>
          <w:szCs w:val="24"/>
        </w:rPr>
        <w:t xml:space="preserve"> the strategy will </w:t>
      </w:r>
      <w:r w:rsidR="002F64D7" w:rsidRPr="002F64D7">
        <w:rPr>
          <w:rFonts w:cstheme="minorHAnsi"/>
          <w:szCs w:val="24"/>
        </w:rPr>
        <w:t>directly</w:t>
      </w:r>
      <w:r w:rsidR="00AF4FD0" w:rsidRPr="002F64D7">
        <w:rPr>
          <w:rFonts w:cstheme="minorHAnsi"/>
          <w:szCs w:val="24"/>
        </w:rPr>
        <w:t xml:space="preserve"> </w:t>
      </w:r>
      <w:r w:rsidR="002F64D7" w:rsidRPr="002F64D7">
        <w:rPr>
          <w:rFonts w:cstheme="minorHAnsi"/>
          <w:szCs w:val="24"/>
        </w:rPr>
        <w:t xml:space="preserve">tackle the challenges </w:t>
      </w:r>
      <w:r w:rsidR="008F43CB">
        <w:rPr>
          <w:rFonts w:cstheme="minorHAnsi"/>
          <w:szCs w:val="24"/>
        </w:rPr>
        <w:t xml:space="preserve">and </w:t>
      </w:r>
      <w:r w:rsidR="00AF4FD0" w:rsidRPr="002F64D7">
        <w:rPr>
          <w:rFonts w:cstheme="minorHAnsi"/>
          <w:szCs w:val="24"/>
        </w:rPr>
        <w:t xml:space="preserve">deliver business growth, job creation, vibrant high streets and support residents into sustainable employment. These </w:t>
      </w:r>
      <w:r w:rsidR="008F43CB">
        <w:rPr>
          <w:rFonts w:cstheme="minorHAnsi"/>
          <w:szCs w:val="24"/>
        </w:rPr>
        <w:t xml:space="preserve">opportunities </w:t>
      </w:r>
      <w:r w:rsidR="00AF4FD0" w:rsidRPr="002F64D7">
        <w:rPr>
          <w:rFonts w:cstheme="minorHAnsi"/>
          <w:szCs w:val="24"/>
        </w:rPr>
        <w:t>include:</w:t>
      </w:r>
    </w:p>
    <w:p w14:paraId="44D3E406" w14:textId="4BF8FA4D" w:rsidR="00B41C47" w:rsidRPr="00B41C47" w:rsidRDefault="00B41C47" w:rsidP="00B41C47"/>
    <w:p w14:paraId="36FC70A6" w14:textId="77777777" w:rsidR="00DA3209" w:rsidRDefault="00DA3209" w:rsidP="00914805">
      <w:pPr>
        <w:pStyle w:val="ListParagraph"/>
        <w:numPr>
          <w:ilvl w:val="0"/>
          <w:numId w:val="8"/>
        </w:numPr>
        <w:spacing w:after="160" w:line="259" w:lineRule="auto"/>
        <w:rPr>
          <w:rFonts w:cstheme="minorHAnsi"/>
          <w:szCs w:val="24"/>
        </w:rPr>
      </w:pPr>
      <w:r w:rsidRPr="00494572">
        <w:rPr>
          <w:rFonts w:cstheme="minorHAnsi"/>
          <w:szCs w:val="24"/>
        </w:rPr>
        <w:t>Through the development of our growth sectors, investing in the economy and regenerating our high streets there is an opportunity to increase wages, create sustainable employment and improve the skills levels of our residents through apprenticeships</w:t>
      </w:r>
      <w:r>
        <w:rPr>
          <w:rFonts w:cstheme="minorHAnsi"/>
          <w:szCs w:val="24"/>
        </w:rPr>
        <w:t>.</w:t>
      </w:r>
    </w:p>
    <w:p w14:paraId="0D7A70E4" w14:textId="77777777" w:rsidR="00DA3209" w:rsidRDefault="00DA3209" w:rsidP="00914805">
      <w:pPr>
        <w:pStyle w:val="ListParagraph"/>
        <w:numPr>
          <w:ilvl w:val="0"/>
          <w:numId w:val="8"/>
        </w:numPr>
        <w:spacing w:after="160" w:line="259" w:lineRule="auto"/>
        <w:rPr>
          <w:rFonts w:cstheme="minorHAnsi"/>
          <w:szCs w:val="24"/>
        </w:rPr>
      </w:pPr>
      <w:r>
        <w:rPr>
          <w:rFonts w:cstheme="minorHAnsi"/>
          <w:szCs w:val="24"/>
        </w:rPr>
        <w:t>Effective engagement with the 102</w:t>
      </w:r>
      <w:r w:rsidRPr="00494572">
        <w:rPr>
          <w:rFonts w:cstheme="minorHAnsi"/>
          <w:szCs w:val="24"/>
        </w:rPr>
        <w:t xml:space="preserve"> organisations based in Harrow that employ over 100 people</w:t>
      </w:r>
      <w:r>
        <w:rPr>
          <w:rStyle w:val="FootnoteReference"/>
          <w:rFonts w:cstheme="minorHAnsi"/>
          <w:szCs w:val="24"/>
        </w:rPr>
        <w:footnoteReference w:id="6"/>
      </w:r>
      <w:r>
        <w:rPr>
          <w:rFonts w:cstheme="minorHAnsi"/>
          <w:szCs w:val="24"/>
        </w:rPr>
        <w:t xml:space="preserve">. </w:t>
      </w:r>
      <w:r w:rsidRPr="00321E8F">
        <w:rPr>
          <w:rFonts w:cstheme="minorHAnsi"/>
          <w:szCs w:val="24"/>
        </w:rPr>
        <w:t xml:space="preserve">The top </w:t>
      </w:r>
      <w:r>
        <w:rPr>
          <w:rFonts w:cstheme="minorHAnsi"/>
          <w:szCs w:val="24"/>
        </w:rPr>
        <w:t>three</w:t>
      </w:r>
      <w:r w:rsidRPr="00321E8F">
        <w:rPr>
          <w:rFonts w:cstheme="minorHAnsi"/>
          <w:szCs w:val="24"/>
        </w:rPr>
        <w:t xml:space="preserve"> private sector employers collectively provide 6,366 jobs and have a combined turnover of £257m</w:t>
      </w:r>
      <w:r>
        <w:rPr>
          <w:rFonts w:cstheme="minorHAnsi"/>
          <w:szCs w:val="24"/>
        </w:rPr>
        <w:t>.</w:t>
      </w:r>
    </w:p>
    <w:p w14:paraId="4E4A7E21" w14:textId="77777777" w:rsidR="00312CB1" w:rsidRDefault="00DA3209" w:rsidP="00914805">
      <w:pPr>
        <w:pStyle w:val="ListParagraph"/>
        <w:numPr>
          <w:ilvl w:val="0"/>
          <w:numId w:val="8"/>
        </w:numPr>
        <w:spacing w:after="160" w:line="259" w:lineRule="auto"/>
        <w:rPr>
          <w:rFonts w:cstheme="minorHAnsi"/>
          <w:szCs w:val="24"/>
        </w:rPr>
      </w:pPr>
      <w:r>
        <w:rPr>
          <w:rFonts w:cstheme="minorHAnsi"/>
          <w:szCs w:val="24"/>
        </w:rPr>
        <w:t>There were</w:t>
      </w:r>
      <w:r w:rsidRPr="00DD4717">
        <w:rPr>
          <w:rFonts w:cstheme="minorHAnsi"/>
          <w:szCs w:val="24"/>
        </w:rPr>
        <w:t xml:space="preserve"> an estimated</w:t>
      </w:r>
      <w:r>
        <w:rPr>
          <w:rFonts w:cstheme="minorHAnsi"/>
          <w:szCs w:val="24"/>
        </w:rPr>
        <w:t xml:space="preserve"> </w:t>
      </w:r>
      <w:r w:rsidRPr="00DD4717">
        <w:rPr>
          <w:rFonts w:cstheme="minorHAnsi"/>
          <w:szCs w:val="24"/>
        </w:rPr>
        <w:t>31,600 green jobs in West London in 2020, of which 3,600 jobs were in Harrow (11.4%). The total number of green jobs in West London are projected to rise to 64,000 in 2030 and 122,000 in 2050, representing a near-4-fold increase</w:t>
      </w:r>
      <w:r>
        <w:rPr>
          <w:rStyle w:val="FootnoteReference"/>
          <w:rFonts w:cstheme="minorHAnsi"/>
          <w:szCs w:val="24"/>
        </w:rPr>
        <w:footnoteReference w:id="7"/>
      </w:r>
      <w:r w:rsidRPr="00DD4717">
        <w:rPr>
          <w:rFonts w:cstheme="minorHAnsi"/>
          <w:szCs w:val="24"/>
        </w:rPr>
        <w:t xml:space="preserve">. </w:t>
      </w:r>
    </w:p>
    <w:p w14:paraId="7AAB6F15" w14:textId="77777777" w:rsidR="00DA3209" w:rsidRDefault="00DA3209" w:rsidP="00914805">
      <w:pPr>
        <w:pStyle w:val="ListParagraph"/>
        <w:numPr>
          <w:ilvl w:val="0"/>
          <w:numId w:val="8"/>
        </w:numPr>
        <w:spacing w:after="160" w:line="252" w:lineRule="auto"/>
        <w:rPr>
          <w:szCs w:val="24"/>
        </w:rPr>
      </w:pPr>
      <w:r>
        <w:rPr>
          <w:szCs w:val="24"/>
        </w:rPr>
        <w:t xml:space="preserve">The Council is working to prepare a new Local Plan, which will look to assist in delivering the strategic direction of the Council. The new Local </w:t>
      </w:r>
      <w:r>
        <w:rPr>
          <w:szCs w:val="24"/>
        </w:rPr>
        <w:lastRenderedPageBreak/>
        <w:t>Plan will deliver a policy framework for growth and development across the borough, including matters relating to economic development.</w:t>
      </w:r>
    </w:p>
    <w:p w14:paraId="1DD16893" w14:textId="2B2E35F4" w:rsidR="00DA3209" w:rsidRPr="0007471C" w:rsidRDefault="00DA3209" w:rsidP="00914805">
      <w:pPr>
        <w:pStyle w:val="ListParagraph"/>
        <w:numPr>
          <w:ilvl w:val="0"/>
          <w:numId w:val="8"/>
        </w:numPr>
        <w:spacing w:after="160" w:line="259" w:lineRule="auto"/>
        <w:ind w:left="714" w:hanging="357"/>
        <w:rPr>
          <w:rFonts w:cstheme="minorHAnsi"/>
          <w:szCs w:val="24"/>
        </w:rPr>
      </w:pPr>
      <w:r>
        <w:rPr>
          <w:rFonts w:cstheme="minorHAnsi"/>
          <w:szCs w:val="24"/>
        </w:rPr>
        <w:t xml:space="preserve">To </w:t>
      </w:r>
      <w:r w:rsidRPr="00494572">
        <w:rPr>
          <w:rFonts w:cstheme="minorHAnsi"/>
          <w:szCs w:val="24"/>
        </w:rPr>
        <w:t>be focus</w:t>
      </w:r>
      <w:r w:rsidR="00F82279">
        <w:rPr>
          <w:rFonts w:cstheme="minorHAnsi"/>
          <w:szCs w:val="24"/>
        </w:rPr>
        <w:t>sed</w:t>
      </w:r>
      <w:r w:rsidRPr="00494572">
        <w:rPr>
          <w:rFonts w:cstheme="minorHAnsi"/>
          <w:szCs w:val="24"/>
        </w:rPr>
        <w:t xml:space="preserve"> on strengthening local spend, by having a more vibrant retail offer through inward investment.</w:t>
      </w:r>
      <w:r>
        <w:rPr>
          <w:rFonts w:cstheme="minorHAnsi"/>
          <w:szCs w:val="24"/>
        </w:rPr>
        <w:t xml:space="preserve"> Where appropriate, the Council</w:t>
      </w:r>
      <w:r w:rsidRPr="00494572">
        <w:rPr>
          <w:rFonts w:cstheme="minorHAnsi"/>
          <w:szCs w:val="24"/>
        </w:rPr>
        <w:t xml:space="preserve"> </w:t>
      </w:r>
      <w:r>
        <w:rPr>
          <w:rFonts w:cstheme="minorHAnsi"/>
          <w:szCs w:val="24"/>
        </w:rPr>
        <w:t>could</w:t>
      </w:r>
      <w:r w:rsidRPr="00494572">
        <w:rPr>
          <w:rFonts w:cstheme="minorHAnsi"/>
          <w:szCs w:val="24"/>
        </w:rPr>
        <w:t xml:space="preserve"> support</w:t>
      </w:r>
      <w:r>
        <w:rPr>
          <w:rFonts w:cstheme="minorHAnsi"/>
          <w:szCs w:val="24"/>
        </w:rPr>
        <w:t xml:space="preserve"> b</w:t>
      </w:r>
      <w:r w:rsidRPr="00494572">
        <w:rPr>
          <w:rFonts w:cstheme="minorHAnsi"/>
          <w:szCs w:val="24"/>
        </w:rPr>
        <w:t xml:space="preserve">y relaxing some of </w:t>
      </w:r>
      <w:r>
        <w:rPr>
          <w:rFonts w:cstheme="minorHAnsi"/>
          <w:szCs w:val="24"/>
        </w:rPr>
        <w:t xml:space="preserve">the </w:t>
      </w:r>
      <w:r w:rsidRPr="00494572">
        <w:rPr>
          <w:rFonts w:cstheme="minorHAnsi"/>
          <w:szCs w:val="24"/>
        </w:rPr>
        <w:t>policies on procurement, licensing, parking, planning and regeneration</w:t>
      </w:r>
      <w:r>
        <w:rPr>
          <w:rFonts w:cstheme="minorHAnsi"/>
          <w:szCs w:val="24"/>
        </w:rPr>
        <w:t>.</w:t>
      </w:r>
    </w:p>
    <w:p w14:paraId="2BA132C9" w14:textId="566DAB18" w:rsidR="002F64D7" w:rsidRDefault="00DA3209" w:rsidP="00914805">
      <w:pPr>
        <w:pStyle w:val="ListParagraph"/>
        <w:numPr>
          <w:ilvl w:val="0"/>
          <w:numId w:val="8"/>
        </w:numPr>
        <w:spacing w:after="160" w:line="259" w:lineRule="auto"/>
        <w:rPr>
          <w:rFonts w:cstheme="minorHAnsi"/>
          <w:szCs w:val="24"/>
        </w:rPr>
      </w:pPr>
      <w:r>
        <w:rPr>
          <w:rFonts w:cstheme="minorHAnsi"/>
          <w:szCs w:val="24"/>
        </w:rPr>
        <w:t xml:space="preserve">The Council is working with providers to promote digital inclusion </w:t>
      </w:r>
      <w:r w:rsidRPr="00EF45FE">
        <w:rPr>
          <w:rFonts w:cstheme="minorHAnsi"/>
          <w:szCs w:val="24"/>
        </w:rPr>
        <w:t>to help residents becom</w:t>
      </w:r>
      <w:r>
        <w:rPr>
          <w:rFonts w:cstheme="minorHAnsi"/>
          <w:szCs w:val="24"/>
        </w:rPr>
        <w:t>e</w:t>
      </w:r>
      <w:r w:rsidRPr="00EF45FE">
        <w:rPr>
          <w:rFonts w:cstheme="minorHAnsi"/>
          <w:szCs w:val="24"/>
        </w:rPr>
        <w:t xml:space="preserve"> more digitally empowered. </w:t>
      </w:r>
      <w:r w:rsidRPr="00AF3063">
        <w:rPr>
          <w:rFonts w:cstheme="minorHAnsi"/>
          <w:szCs w:val="24"/>
        </w:rPr>
        <w:t>The investment in full fibre broadband will also provide employment opportunities for residents</w:t>
      </w:r>
      <w:r>
        <w:rPr>
          <w:rFonts w:cstheme="minorHAnsi"/>
          <w:szCs w:val="24"/>
        </w:rPr>
        <w:t>.</w:t>
      </w:r>
    </w:p>
    <w:p w14:paraId="48499E38" w14:textId="7E1A576A" w:rsidR="00E914F9" w:rsidRPr="00A572E7" w:rsidRDefault="00E914F9" w:rsidP="00914805">
      <w:pPr>
        <w:pStyle w:val="ListParagraph"/>
        <w:numPr>
          <w:ilvl w:val="0"/>
          <w:numId w:val="8"/>
        </w:numPr>
        <w:spacing w:after="160" w:line="259" w:lineRule="auto"/>
        <w:rPr>
          <w:rFonts w:cstheme="minorHAnsi"/>
          <w:szCs w:val="24"/>
        </w:rPr>
      </w:pPr>
      <w:r>
        <w:rPr>
          <w:rFonts w:cstheme="minorHAnsi"/>
          <w:szCs w:val="24"/>
        </w:rPr>
        <w:t>The Council</w:t>
      </w:r>
      <w:r w:rsidR="00FA1229">
        <w:rPr>
          <w:rFonts w:cstheme="minorHAnsi"/>
          <w:szCs w:val="24"/>
        </w:rPr>
        <w:t xml:space="preserve"> is investing in and supporting membership organisations </w:t>
      </w:r>
      <w:r w:rsidR="00296704">
        <w:rPr>
          <w:rFonts w:cstheme="minorHAnsi"/>
          <w:szCs w:val="24"/>
        </w:rPr>
        <w:t xml:space="preserve">and programmes to promote business start-up and business growth. </w:t>
      </w:r>
    </w:p>
    <w:p w14:paraId="5E3D76B0" w14:textId="607DEAA7" w:rsidR="00333FAA" w:rsidRDefault="00333FAA" w:rsidP="00914805">
      <w:pPr>
        <w:pStyle w:val="Heading2"/>
        <w:numPr>
          <w:ilvl w:val="0"/>
          <w:numId w:val="3"/>
        </w:numPr>
        <w:rPr>
          <w:rFonts w:ascii="Arial" w:hAnsi="Arial"/>
          <w:color w:val="000000" w:themeColor="text1"/>
          <w:sz w:val="28"/>
          <w:szCs w:val="28"/>
        </w:rPr>
      </w:pPr>
      <w:r w:rsidRPr="0006505E">
        <w:rPr>
          <w:rFonts w:ascii="Arial" w:hAnsi="Arial"/>
          <w:color w:val="000000" w:themeColor="text1"/>
          <w:sz w:val="28"/>
          <w:szCs w:val="28"/>
        </w:rPr>
        <w:t>Implications of the Recommendation</w:t>
      </w:r>
    </w:p>
    <w:p w14:paraId="665C9FEA" w14:textId="77777777" w:rsidR="0006505E" w:rsidRPr="0006505E" w:rsidRDefault="0006505E" w:rsidP="0006505E"/>
    <w:p w14:paraId="4F1ABC9E" w14:textId="77777777" w:rsidR="001F0451" w:rsidRDefault="0006505E" w:rsidP="00914805">
      <w:pPr>
        <w:pStyle w:val="ListParagraph"/>
        <w:numPr>
          <w:ilvl w:val="1"/>
          <w:numId w:val="3"/>
        </w:numPr>
        <w:autoSpaceDE w:val="0"/>
        <w:autoSpaceDN w:val="0"/>
        <w:adjustRightInd w:val="0"/>
        <w:rPr>
          <w:rFonts w:cs="Arial"/>
          <w:szCs w:val="24"/>
          <w:lang w:eastAsia="en-GB"/>
        </w:rPr>
      </w:pPr>
      <w:r w:rsidRPr="001F0451">
        <w:rPr>
          <w:rFonts w:cs="Arial"/>
          <w:szCs w:val="24"/>
          <w:lang w:eastAsia="en-GB"/>
        </w:rPr>
        <w:t xml:space="preserve">The Economic Strategy will be delivered through existing resources and external funds. We will work with West London Alliance, the Greater London Authority, and relevant Central Government departments, to </w:t>
      </w:r>
      <w:r w:rsidRPr="001F0451">
        <w:rPr>
          <w:rFonts w:ascii="ArialMT" w:hAnsi="ArialMT" w:cs="ArialMT"/>
          <w:szCs w:val="24"/>
          <w:lang w:eastAsia="en-GB"/>
        </w:rPr>
        <w:t xml:space="preserve">ensure Harrow’s businesses and residents can access </w:t>
      </w:r>
      <w:r w:rsidRPr="001F0451">
        <w:rPr>
          <w:rFonts w:cs="Arial"/>
          <w:szCs w:val="24"/>
          <w:lang w:eastAsia="en-GB"/>
        </w:rPr>
        <w:t>local, sub-regional, London and national provision to enable business growth, safeguard jobs, create new jobs, grow the skills of residents, and support residents to enter employment.</w:t>
      </w:r>
    </w:p>
    <w:p w14:paraId="0025FD39" w14:textId="77777777" w:rsidR="001F0451" w:rsidRDefault="001F0451" w:rsidP="001F0451">
      <w:pPr>
        <w:pStyle w:val="ListParagraph"/>
        <w:autoSpaceDE w:val="0"/>
        <w:autoSpaceDN w:val="0"/>
        <w:adjustRightInd w:val="0"/>
        <w:ind w:left="543"/>
        <w:rPr>
          <w:rFonts w:cs="Arial"/>
          <w:szCs w:val="24"/>
          <w:lang w:eastAsia="en-GB"/>
        </w:rPr>
      </w:pPr>
    </w:p>
    <w:p w14:paraId="1E4BFFE0" w14:textId="3EBE42D9" w:rsidR="008F629A" w:rsidRPr="001F0451" w:rsidRDefault="008F629A" w:rsidP="00914805">
      <w:pPr>
        <w:pStyle w:val="ListParagraph"/>
        <w:numPr>
          <w:ilvl w:val="1"/>
          <w:numId w:val="3"/>
        </w:numPr>
        <w:autoSpaceDE w:val="0"/>
        <w:autoSpaceDN w:val="0"/>
        <w:adjustRightInd w:val="0"/>
        <w:rPr>
          <w:rFonts w:cs="Arial"/>
          <w:szCs w:val="24"/>
          <w:lang w:eastAsia="en-GB"/>
        </w:rPr>
      </w:pPr>
      <w:r w:rsidRPr="001F0451">
        <w:rPr>
          <w:rFonts w:cs="Arial"/>
          <w:szCs w:val="24"/>
          <w:lang w:eastAsia="en-GB"/>
        </w:rPr>
        <w:t>T</w:t>
      </w:r>
      <w:r w:rsidR="001A006E" w:rsidRPr="001F0451">
        <w:rPr>
          <w:rFonts w:cs="Arial"/>
          <w:szCs w:val="24"/>
          <w:lang w:eastAsia="en-GB"/>
        </w:rPr>
        <w:t xml:space="preserve">he </w:t>
      </w:r>
      <w:r w:rsidR="0006505E" w:rsidRPr="001F0451">
        <w:rPr>
          <w:rFonts w:cs="Arial"/>
          <w:szCs w:val="24"/>
          <w:lang w:eastAsia="en-GB"/>
        </w:rPr>
        <w:t>Council has secured over £</w:t>
      </w:r>
      <w:r w:rsidR="001A006E" w:rsidRPr="001F0451">
        <w:rPr>
          <w:rFonts w:cs="Arial"/>
          <w:szCs w:val="24"/>
          <w:lang w:eastAsia="en-GB"/>
        </w:rPr>
        <w:t>1.</w:t>
      </w:r>
      <w:r w:rsidR="00857265" w:rsidRPr="001F0451">
        <w:rPr>
          <w:rFonts w:cs="Arial"/>
          <w:szCs w:val="24"/>
          <w:lang w:eastAsia="en-GB"/>
        </w:rPr>
        <w:t>8</w:t>
      </w:r>
      <w:r w:rsidR="0006505E" w:rsidRPr="001F0451">
        <w:rPr>
          <w:rFonts w:cs="Arial"/>
          <w:szCs w:val="24"/>
          <w:lang w:eastAsia="en-GB"/>
        </w:rPr>
        <w:t xml:space="preserve">m </w:t>
      </w:r>
      <w:r w:rsidR="00857265" w:rsidRPr="001F0451">
        <w:rPr>
          <w:rFonts w:cs="Arial"/>
          <w:szCs w:val="24"/>
          <w:lang w:eastAsia="en-GB"/>
        </w:rPr>
        <w:t>from the UK Shared Prosperity Fund</w:t>
      </w:r>
      <w:r w:rsidR="001F0451">
        <w:rPr>
          <w:rFonts w:cs="Arial"/>
          <w:szCs w:val="24"/>
          <w:lang w:eastAsia="en-GB"/>
        </w:rPr>
        <w:t xml:space="preserve"> (UKSPF)</w:t>
      </w:r>
      <w:r w:rsidRPr="001F0451">
        <w:rPr>
          <w:rFonts w:cs="Arial"/>
          <w:szCs w:val="24"/>
          <w:lang w:eastAsia="en-GB"/>
        </w:rPr>
        <w:t xml:space="preserve"> to deliver </w:t>
      </w:r>
      <w:r w:rsidR="001F0451">
        <w:rPr>
          <w:rFonts w:cs="Arial"/>
          <w:szCs w:val="24"/>
          <w:lang w:eastAsia="en-GB"/>
        </w:rPr>
        <w:t xml:space="preserve">a series </w:t>
      </w:r>
      <w:r w:rsidR="00070639">
        <w:rPr>
          <w:rFonts w:cs="Arial"/>
          <w:szCs w:val="24"/>
          <w:lang w:eastAsia="en-GB"/>
        </w:rPr>
        <w:t xml:space="preserve">of </w:t>
      </w:r>
      <w:r w:rsidRPr="001F0451">
        <w:rPr>
          <w:rFonts w:cs="Arial"/>
          <w:szCs w:val="24"/>
          <w:lang w:eastAsia="en-GB"/>
        </w:rPr>
        <w:t>support programme</w:t>
      </w:r>
      <w:r w:rsidR="001F0451">
        <w:rPr>
          <w:rFonts w:cs="Arial"/>
          <w:szCs w:val="24"/>
          <w:lang w:eastAsia="en-GB"/>
        </w:rPr>
        <w:t>s</w:t>
      </w:r>
      <w:r w:rsidRPr="001F0451">
        <w:rPr>
          <w:rFonts w:cs="Arial"/>
          <w:szCs w:val="24"/>
          <w:lang w:eastAsia="en-GB"/>
        </w:rPr>
        <w:t xml:space="preserve"> under </w:t>
      </w:r>
      <w:r w:rsidR="00AC4B1A">
        <w:rPr>
          <w:rFonts w:cs="Arial"/>
          <w:szCs w:val="24"/>
          <w:lang w:eastAsia="en-GB"/>
        </w:rPr>
        <w:t xml:space="preserve">three </w:t>
      </w:r>
      <w:r w:rsidR="00571E56" w:rsidRPr="001F0451">
        <w:rPr>
          <w:rFonts w:cs="Arial"/>
          <w:szCs w:val="24"/>
          <w:lang w:eastAsia="en-GB"/>
        </w:rPr>
        <w:t>priorit</w:t>
      </w:r>
      <w:r w:rsidR="00070639">
        <w:rPr>
          <w:rFonts w:cs="Arial"/>
          <w:szCs w:val="24"/>
          <w:lang w:eastAsia="en-GB"/>
        </w:rPr>
        <w:t>y</w:t>
      </w:r>
      <w:r w:rsidR="00571E56" w:rsidRPr="001F0451">
        <w:rPr>
          <w:rFonts w:cs="Arial"/>
          <w:szCs w:val="24"/>
          <w:lang w:eastAsia="en-GB"/>
        </w:rPr>
        <w:t xml:space="preserve"> areas:</w:t>
      </w:r>
    </w:p>
    <w:p w14:paraId="338CE893" w14:textId="77777777" w:rsidR="00571E56" w:rsidRDefault="00571E56" w:rsidP="0006505E">
      <w:pPr>
        <w:autoSpaceDE w:val="0"/>
        <w:autoSpaceDN w:val="0"/>
        <w:adjustRightInd w:val="0"/>
        <w:rPr>
          <w:rFonts w:cs="Arial"/>
          <w:szCs w:val="24"/>
          <w:lang w:eastAsia="en-GB"/>
        </w:rPr>
      </w:pPr>
    </w:p>
    <w:p w14:paraId="39F5C505" w14:textId="0E25B9E7" w:rsidR="00571E56" w:rsidRDefault="00571E56" w:rsidP="00914805">
      <w:pPr>
        <w:pStyle w:val="ListParagraph"/>
        <w:numPr>
          <w:ilvl w:val="0"/>
          <w:numId w:val="9"/>
        </w:numPr>
        <w:autoSpaceDE w:val="0"/>
        <w:autoSpaceDN w:val="0"/>
        <w:adjustRightInd w:val="0"/>
        <w:rPr>
          <w:rFonts w:cs="Arial"/>
          <w:szCs w:val="24"/>
          <w:lang w:eastAsia="en-GB"/>
        </w:rPr>
      </w:pPr>
      <w:r>
        <w:rPr>
          <w:rFonts w:cs="Arial"/>
          <w:szCs w:val="24"/>
          <w:lang w:eastAsia="en-GB"/>
        </w:rPr>
        <w:t>Communities and Place</w:t>
      </w:r>
    </w:p>
    <w:p w14:paraId="633BCB88" w14:textId="38901E47" w:rsidR="00571E56" w:rsidRDefault="00571E56" w:rsidP="00914805">
      <w:pPr>
        <w:pStyle w:val="ListParagraph"/>
        <w:numPr>
          <w:ilvl w:val="0"/>
          <w:numId w:val="9"/>
        </w:numPr>
        <w:autoSpaceDE w:val="0"/>
        <w:autoSpaceDN w:val="0"/>
        <w:adjustRightInd w:val="0"/>
        <w:rPr>
          <w:rFonts w:cs="Arial"/>
          <w:szCs w:val="24"/>
          <w:lang w:eastAsia="en-GB"/>
        </w:rPr>
      </w:pPr>
      <w:r>
        <w:rPr>
          <w:rFonts w:cs="Arial"/>
          <w:szCs w:val="24"/>
          <w:lang w:eastAsia="en-GB"/>
        </w:rPr>
        <w:t>Supporting Local Businesses</w:t>
      </w:r>
    </w:p>
    <w:p w14:paraId="1EEE0205" w14:textId="20A75D96" w:rsidR="00571E56" w:rsidRDefault="00571E56" w:rsidP="00914805">
      <w:pPr>
        <w:pStyle w:val="ListParagraph"/>
        <w:numPr>
          <w:ilvl w:val="0"/>
          <w:numId w:val="9"/>
        </w:numPr>
        <w:autoSpaceDE w:val="0"/>
        <w:autoSpaceDN w:val="0"/>
        <w:adjustRightInd w:val="0"/>
        <w:rPr>
          <w:rFonts w:cs="Arial"/>
          <w:szCs w:val="24"/>
          <w:lang w:eastAsia="en-GB"/>
        </w:rPr>
      </w:pPr>
      <w:r>
        <w:rPr>
          <w:rFonts w:cs="Arial"/>
          <w:szCs w:val="24"/>
          <w:lang w:eastAsia="en-GB"/>
        </w:rPr>
        <w:t xml:space="preserve">People and Skills </w:t>
      </w:r>
    </w:p>
    <w:p w14:paraId="020A84F4" w14:textId="77777777" w:rsidR="008F629A" w:rsidRDefault="008F629A" w:rsidP="0006505E">
      <w:pPr>
        <w:autoSpaceDE w:val="0"/>
        <w:autoSpaceDN w:val="0"/>
        <w:adjustRightInd w:val="0"/>
        <w:rPr>
          <w:rFonts w:cs="Arial"/>
          <w:szCs w:val="24"/>
          <w:lang w:eastAsia="en-GB"/>
        </w:rPr>
      </w:pPr>
    </w:p>
    <w:p w14:paraId="21801923" w14:textId="6DE0806D" w:rsidR="0006505E" w:rsidRPr="001F0451" w:rsidRDefault="0006505E" w:rsidP="00914805">
      <w:pPr>
        <w:pStyle w:val="ListParagraph"/>
        <w:numPr>
          <w:ilvl w:val="1"/>
          <w:numId w:val="3"/>
        </w:numPr>
        <w:autoSpaceDE w:val="0"/>
        <w:autoSpaceDN w:val="0"/>
        <w:adjustRightInd w:val="0"/>
        <w:rPr>
          <w:rFonts w:cs="Arial"/>
          <w:szCs w:val="24"/>
          <w:lang w:eastAsia="en-GB"/>
        </w:rPr>
      </w:pPr>
      <w:r w:rsidRPr="001F0451">
        <w:rPr>
          <w:rFonts w:cs="Arial"/>
          <w:szCs w:val="24"/>
          <w:lang w:eastAsia="en-GB"/>
        </w:rPr>
        <w:t xml:space="preserve">The adoption of the Economic Strategy by Cabinet would </w:t>
      </w:r>
      <w:r w:rsidRPr="001F0451">
        <w:rPr>
          <w:rFonts w:ascii="ArialMT" w:hAnsi="ArialMT" w:cs="ArialMT"/>
          <w:szCs w:val="24"/>
          <w:lang w:eastAsia="en-GB"/>
        </w:rPr>
        <w:t xml:space="preserve">demonstrate the Council’s determination to </w:t>
      </w:r>
      <w:r w:rsidRPr="001F0451">
        <w:rPr>
          <w:rFonts w:cs="Arial"/>
          <w:szCs w:val="24"/>
          <w:lang w:eastAsia="en-GB"/>
        </w:rPr>
        <w:t>deliver long term economic sustainable and inclusive growth programmes that align to the priorities of the UK Government, Greater London Assembly, and the West London Alliance.</w:t>
      </w:r>
    </w:p>
    <w:p w14:paraId="7C6DAC7C" w14:textId="77777777" w:rsidR="001A006E" w:rsidRDefault="001A006E" w:rsidP="0006505E">
      <w:pPr>
        <w:rPr>
          <w:rFonts w:cs="Arial"/>
          <w:sz w:val="32"/>
          <w:szCs w:val="32"/>
          <w:lang w:eastAsia="en-GB"/>
        </w:rPr>
      </w:pPr>
    </w:p>
    <w:p w14:paraId="74349A60" w14:textId="77777777" w:rsidR="0054590F" w:rsidRPr="00F06E4E" w:rsidRDefault="0054590F" w:rsidP="0054590F">
      <w:pPr>
        <w:rPr>
          <w:szCs w:val="24"/>
        </w:rPr>
      </w:pPr>
    </w:p>
    <w:p w14:paraId="211340B3" w14:textId="3B4EC3A2" w:rsidR="00333FAA" w:rsidRPr="008A5AB1" w:rsidRDefault="00333FAA" w:rsidP="00914805">
      <w:pPr>
        <w:pStyle w:val="Heading4"/>
        <w:numPr>
          <w:ilvl w:val="0"/>
          <w:numId w:val="3"/>
        </w:numPr>
        <w:rPr>
          <w:color w:val="000000" w:themeColor="text1"/>
          <w:sz w:val="28"/>
          <w:szCs w:val="28"/>
        </w:rPr>
      </w:pPr>
      <w:r w:rsidRPr="008A5AB1">
        <w:rPr>
          <w:color w:val="000000" w:themeColor="text1"/>
          <w:sz w:val="28"/>
          <w:szCs w:val="28"/>
        </w:rPr>
        <w:t xml:space="preserve">Staffing/workforce </w:t>
      </w:r>
    </w:p>
    <w:p w14:paraId="34F95436" w14:textId="77777777" w:rsidR="000A31A3" w:rsidRDefault="000A31A3" w:rsidP="000A31A3"/>
    <w:p w14:paraId="6155BD0F" w14:textId="5810D983" w:rsidR="000A31A3" w:rsidRPr="000A31A3" w:rsidRDefault="000A31A3" w:rsidP="000A31A3">
      <w:r w:rsidRPr="000A31A3">
        <w:t xml:space="preserve">The Strategy will be co-ordinated and led by the </w:t>
      </w:r>
      <w:r>
        <w:t xml:space="preserve">Economic Strategy Programme Manager. </w:t>
      </w:r>
    </w:p>
    <w:p w14:paraId="7AA5D530" w14:textId="003D5D80" w:rsidR="00307F76" w:rsidRPr="008A5AB1" w:rsidRDefault="00307F76" w:rsidP="00914805">
      <w:pPr>
        <w:pStyle w:val="ListParagraph"/>
        <w:numPr>
          <w:ilvl w:val="0"/>
          <w:numId w:val="3"/>
        </w:numPr>
        <w:spacing w:before="240"/>
        <w:rPr>
          <w:b/>
          <w:sz w:val="28"/>
          <w:szCs w:val="28"/>
        </w:rPr>
      </w:pPr>
      <w:r w:rsidRPr="008A5AB1">
        <w:rPr>
          <w:b/>
          <w:sz w:val="28"/>
          <w:szCs w:val="28"/>
        </w:rPr>
        <w:t xml:space="preserve">Ward Councillors’ comments </w:t>
      </w:r>
    </w:p>
    <w:p w14:paraId="7E595A01" w14:textId="5383EA02" w:rsidR="00C459F1" w:rsidRPr="00C459F1" w:rsidRDefault="00C459F1" w:rsidP="001472A8">
      <w:pPr>
        <w:spacing w:before="240"/>
        <w:rPr>
          <w:bCs/>
          <w:szCs w:val="24"/>
        </w:rPr>
      </w:pPr>
      <w:r w:rsidRPr="00C459F1">
        <w:rPr>
          <w:bCs/>
          <w:szCs w:val="24"/>
        </w:rPr>
        <w:t xml:space="preserve">Not applicable </w:t>
      </w:r>
    </w:p>
    <w:p w14:paraId="46F07B30" w14:textId="77777777" w:rsidR="00955421" w:rsidRPr="00307F76" w:rsidRDefault="00955421" w:rsidP="0054590F">
      <w:pPr>
        <w:rPr>
          <w:b/>
        </w:rPr>
      </w:pPr>
    </w:p>
    <w:p w14:paraId="38BB2C95" w14:textId="77777777" w:rsidR="00425F2B" w:rsidRPr="008A5AB1" w:rsidRDefault="00006AB5" w:rsidP="00914805">
      <w:pPr>
        <w:pStyle w:val="Heading4"/>
        <w:numPr>
          <w:ilvl w:val="0"/>
          <w:numId w:val="3"/>
        </w:numPr>
        <w:tabs>
          <w:tab w:val="left" w:pos="3600"/>
        </w:tabs>
        <w:rPr>
          <w:color w:val="000000" w:themeColor="text1"/>
          <w:sz w:val="28"/>
          <w:szCs w:val="28"/>
        </w:rPr>
      </w:pPr>
      <w:r w:rsidRPr="008A5AB1">
        <w:rPr>
          <w:color w:val="000000" w:themeColor="text1"/>
          <w:sz w:val="28"/>
          <w:szCs w:val="28"/>
        </w:rPr>
        <w:lastRenderedPageBreak/>
        <w:t>P</w:t>
      </w:r>
      <w:r w:rsidR="00333FAA" w:rsidRPr="008A5AB1">
        <w:rPr>
          <w:color w:val="000000" w:themeColor="text1"/>
          <w:sz w:val="28"/>
          <w:szCs w:val="28"/>
        </w:rPr>
        <w:t>erformance Issues</w:t>
      </w:r>
    </w:p>
    <w:p w14:paraId="3B27DA5A" w14:textId="77777777" w:rsidR="00425F2B" w:rsidRDefault="00425F2B" w:rsidP="00425F2B">
      <w:pPr>
        <w:pStyle w:val="Heading4"/>
        <w:tabs>
          <w:tab w:val="left" w:pos="3600"/>
        </w:tabs>
        <w:rPr>
          <w:color w:val="000000" w:themeColor="text1"/>
          <w:szCs w:val="24"/>
        </w:rPr>
      </w:pPr>
    </w:p>
    <w:p w14:paraId="706BBAC2" w14:textId="624D9870" w:rsidR="00006AB5" w:rsidRPr="00070639" w:rsidRDefault="00006AB5" w:rsidP="00914805">
      <w:pPr>
        <w:pStyle w:val="ListParagraph"/>
        <w:numPr>
          <w:ilvl w:val="1"/>
          <w:numId w:val="3"/>
        </w:numPr>
        <w:rPr>
          <w:b/>
          <w:bCs/>
          <w:color w:val="000000" w:themeColor="text1"/>
        </w:rPr>
      </w:pPr>
      <w:r w:rsidRPr="00006AB5">
        <w:rPr>
          <w:color w:val="000000" w:themeColor="text1"/>
        </w:rPr>
        <w:t xml:space="preserve"> </w:t>
      </w:r>
      <w:r w:rsidR="00425F2B">
        <w:t>The Economic Strategy aligns with the Council’s corporate priorities and is driven by objectives, baseline measures, targets and key performance indicators</w:t>
      </w:r>
      <w:r w:rsidR="00070639">
        <w:t xml:space="preserve"> that </w:t>
      </w:r>
      <w:r w:rsidR="00A066C1" w:rsidRPr="00070639">
        <w:rPr>
          <w:bCs/>
          <w:color w:val="000000" w:themeColor="text1"/>
        </w:rPr>
        <w:t xml:space="preserve">will be monitored </w:t>
      </w:r>
      <w:r w:rsidR="00070639">
        <w:rPr>
          <w:bCs/>
          <w:color w:val="000000" w:themeColor="text1"/>
        </w:rPr>
        <w:t>on a</w:t>
      </w:r>
      <w:r w:rsidR="00A10880" w:rsidRPr="00070639">
        <w:rPr>
          <w:bCs/>
          <w:color w:val="000000" w:themeColor="text1"/>
        </w:rPr>
        <w:t xml:space="preserve"> regular basis to </w:t>
      </w:r>
      <w:r w:rsidR="00070639">
        <w:rPr>
          <w:bCs/>
          <w:color w:val="000000" w:themeColor="text1"/>
        </w:rPr>
        <w:t>identify</w:t>
      </w:r>
      <w:r w:rsidR="00A10880" w:rsidRPr="00070639">
        <w:rPr>
          <w:bCs/>
          <w:color w:val="000000" w:themeColor="text1"/>
        </w:rPr>
        <w:t xml:space="preserve"> area</w:t>
      </w:r>
      <w:r w:rsidR="00070639">
        <w:rPr>
          <w:bCs/>
          <w:color w:val="000000" w:themeColor="text1"/>
        </w:rPr>
        <w:t xml:space="preserve">s </w:t>
      </w:r>
      <w:r w:rsidR="001F08A8">
        <w:rPr>
          <w:bCs/>
          <w:color w:val="000000" w:themeColor="text1"/>
        </w:rPr>
        <w:t>o</w:t>
      </w:r>
      <w:r w:rsidR="00070639">
        <w:rPr>
          <w:bCs/>
          <w:color w:val="000000" w:themeColor="text1"/>
        </w:rPr>
        <w:t>f growth</w:t>
      </w:r>
      <w:r w:rsidR="000F5258">
        <w:rPr>
          <w:bCs/>
          <w:color w:val="000000" w:themeColor="text1"/>
        </w:rPr>
        <w:t xml:space="preserve"> or </w:t>
      </w:r>
      <w:r w:rsidR="00070639">
        <w:rPr>
          <w:bCs/>
          <w:color w:val="000000" w:themeColor="text1"/>
        </w:rPr>
        <w:t xml:space="preserve">high performance and </w:t>
      </w:r>
      <w:r w:rsidR="000F5258">
        <w:rPr>
          <w:bCs/>
          <w:color w:val="000000" w:themeColor="text1"/>
        </w:rPr>
        <w:t xml:space="preserve">to aid the early identification of </w:t>
      </w:r>
      <w:r w:rsidR="004448F8" w:rsidRPr="00070639">
        <w:rPr>
          <w:bCs/>
          <w:color w:val="000000" w:themeColor="text1"/>
        </w:rPr>
        <w:t>slippages and</w:t>
      </w:r>
      <w:r w:rsidR="00A10880" w:rsidRPr="00070639">
        <w:rPr>
          <w:bCs/>
          <w:color w:val="000000" w:themeColor="text1"/>
        </w:rPr>
        <w:t xml:space="preserve"> </w:t>
      </w:r>
      <w:r w:rsidR="004448F8" w:rsidRPr="00070639">
        <w:rPr>
          <w:bCs/>
          <w:color w:val="000000" w:themeColor="text1"/>
        </w:rPr>
        <w:t>underperformance</w:t>
      </w:r>
      <w:r w:rsidR="000F5258">
        <w:rPr>
          <w:bCs/>
          <w:color w:val="000000" w:themeColor="text1"/>
        </w:rPr>
        <w:t xml:space="preserve"> against the targets</w:t>
      </w:r>
      <w:r w:rsidR="004448F8" w:rsidRPr="00070639">
        <w:rPr>
          <w:bCs/>
          <w:color w:val="000000" w:themeColor="text1"/>
        </w:rPr>
        <w:t>.</w:t>
      </w:r>
    </w:p>
    <w:p w14:paraId="73E381CB" w14:textId="77777777" w:rsidR="004448F8" w:rsidRDefault="004448F8" w:rsidP="004448F8"/>
    <w:p w14:paraId="1E37E9B8" w14:textId="55B87F44" w:rsidR="004448F8" w:rsidRDefault="004448F8" w:rsidP="00914805">
      <w:pPr>
        <w:pStyle w:val="ListParagraph"/>
        <w:numPr>
          <w:ilvl w:val="1"/>
          <w:numId w:val="3"/>
        </w:numPr>
      </w:pPr>
      <w:r>
        <w:t xml:space="preserve">The objectives </w:t>
      </w:r>
      <w:r w:rsidR="004D2895">
        <w:t xml:space="preserve">that are set out in the Economic Strategy </w:t>
      </w:r>
      <w:r>
        <w:t xml:space="preserve">will </w:t>
      </w:r>
      <w:r w:rsidR="008F5781">
        <w:t xml:space="preserve">be </w:t>
      </w:r>
      <w:r w:rsidR="004D2895">
        <w:t xml:space="preserve">used </w:t>
      </w:r>
      <w:r w:rsidR="000F5258">
        <w:t>as the basis</w:t>
      </w:r>
      <w:r w:rsidR="004D2895">
        <w:t xml:space="preserve"> </w:t>
      </w:r>
      <w:r w:rsidR="000F5258">
        <w:t xml:space="preserve">of </w:t>
      </w:r>
      <w:r w:rsidR="004D2895">
        <w:t>future</w:t>
      </w:r>
      <w:r>
        <w:t xml:space="preserve"> funding bids</w:t>
      </w:r>
      <w:r w:rsidR="000F5258">
        <w:t>, support business cases</w:t>
      </w:r>
      <w:r>
        <w:t xml:space="preserve"> and </w:t>
      </w:r>
      <w:r w:rsidR="000F5258">
        <w:t xml:space="preserve">to </w:t>
      </w:r>
      <w:r w:rsidR="004D2895">
        <w:t xml:space="preserve">demonstrate </w:t>
      </w:r>
      <w:r w:rsidR="000F5258">
        <w:t xml:space="preserve">Harrow’s </w:t>
      </w:r>
      <w:r w:rsidR="008F5781">
        <w:t>needs and opportunity areas</w:t>
      </w:r>
      <w:r w:rsidR="004D2895">
        <w:t xml:space="preserve">. </w:t>
      </w:r>
    </w:p>
    <w:p w14:paraId="050C1713" w14:textId="6673721A" w:rsidR="00105B8A" w:rsidRPr="008A5AB1" w:rsidRDefault="00A81E19" w:rsidP="00914805">
      <w:pPr>
        <w:pStyle w:val="Heading3"/>
        <w:numPr>
          <w:ilvl w:val="0"/>
          <w:numId w:val="3"/>
        </w:numPr>
        <w:spacing w:before="480" w:after="240"/>
      </w:pPr>
      <w:r>
        <w:t>Risk Management Implications</w:t>
      </w:r>
      <w:bookmarkStart w:id="0" w:name="_Hlk60923477"/>
      <w:bookmarkStart w:id="1" w:name="_Hlk60922991"/>
      <w:bookmarkStart w:id="2" w:name="_Hlk60923939"/>
    </w:p>
    <w:p w14:paraId="0B289C2F" w14:textId="1C4E8081" w:rsidR="00C53F1A" w:rsidRPr="00105B8A" w:rsidRDefault="00C53F1A" w:rsidP="00105B8A">
      <w:pPr>
        <w:tabs>
          <w:tab w:val="left" w:pos="5610"/>
        </w:tabs>
        <w:ind w:right="81"/>
        <w:rPr>
          <w:color w:val="0000FF"/>
        </w:rPr>
      </w:pPr>
      <w:r>
        <w:rPr>
          <w:rFonts w:cs="Arial"/>
          <w:szCs w:val="24"/>
          <w:lang w:val="en-US"/>
        </w:rPr>
        <w:t xml:space="preserve">Risks included on corporate or directorate risk register? </w:t>
      </w:r>
      <w:r>
        <w:rPr>
          <w:rFonts w:cs="Arial"/>
          <w:b/>
          <w:bCs/>
          <w:szCs w:val="24"/>
          <w:lang w:val="en-US"/>
        </w:rPr>
        <w:t>No</w:t>
      </w:r>
    </w:p>
    <w:p w14:paraId="2FFC64C8" w14:textId="77777777" w:rsidR="00C53F1A" w:rsidRDefault="00C53F1A" w:rsidP="00105B8A">
      <w:pPr>
        <w:ind w:left="-142" w:right="141"/>
        <w:rPr>
          <w:rFonts w:cs="Arial"/>
          <w:szCs w:val="24"/>
          <w:lang w:val="en-US" w:eastAsia="en-GB"/>
        </w:rPr>
      </w:pPr>
      <w:r>
        <w:rPr>
          <w:rFonts w:cs="Arial"/>
          <w:szCs w:val="24"/>
          <w:lang w:val="en-US" w:eastAsia="en-GB"/>
        </w:rPr>
        <w:t xml:space="preserve">  </w:t>
      </w:r>
    </w:p>
    <w:p w14:paraId="00B31EDB" w14:textId="4DBDFF84" w:rsidR="00C53F1A" w:rsidRDefault="00C53F1A" w:rsidP="00105B8A">
      <w:pPr>
        <w:ind w:left="-142" w:right="141" w:firstLine="142"/>
        <w:rPr>
          <w:rFonts w:cs="Arial"/>
          <w:color w:val="4F81BD" w:themeColor="accent1"/>
          <w:szCs w:val="24"/>
          <w:lang w:val="en-US" w:eastAsia="en-GB"/>
        </w:rPr>
      </w:pPr>
      <w:r>
        <w:rPr>
          <w:rFonts w:cs="Arial"/>
          <w:szCs w:val="24"/>
          <w:lang w:val="en-US" w:eastAsia="en-GB"/>
        </w:rPr>
        <w:t xml:space="preserve">Separate risk register in place? </w:t>
      </w:r>
      <w:r>
        <w:rPr>
          <w:rFonts w:cs="Arial"/>
          <w:b/>
          <w:bCs/>
          <w:szCs w:val="24"/>
          <w:lang w:val="en-US" w:eastAsia="en-GB"/>
        </w:rPr>
        <w:t>Yes</w:t>
      </w:r>
    </w:p>
    <w:p w14:paraId="72B374FF" w14:textId="77777777" w:rsidR="00C53F1A" w:rsidRDefault="00C53F1A" w:rsidP="00105B8A">
      <w:pPr>
        <w:tabs>
          <w:tab w:val="left" w:pos="5610"/>
        </w:tabs>
        <w:ind w:left="567" w:right="81" w:hanging="567"/>
      </w:pPr>
    </w:p>
    <w:p w14:paraId="2E054B04" w14:textId="0D00586D" w:rsidR="00C53F1A" w:rsidRDefault="00C53F1A" w:rsidP="00105B8A">
      <w:pPr>
        <w:tabs>
          <w:tab w:val="left" w:pos="5610"/>
        </w:tabs>
        <w:ind w:right="81"/>
      </w:pPr>
      <w:r>
        <w:t xml:space="preserve">The relevant risks contained in the register are attached/summarised below. </w:t>
      </w:r>
      <w:r>
        <w:rPr>
          <w:rFonts w:cs="Arial"/>
          <w:b/>
          <w:bCs/>
          <w:szCs w:val="24"/>
          <w:lang w:val="en-US" w:eastAsia="en-GB"/>
        </w:rPr>
        <w:t>Yes</w:t>
      </w:r>
    </w:p>
    <w:p w14:paraId="45AEB19F" w14:textId="77777777" w:rsidR="00105B8A" w:rsidRDefault="00105B8A" w:rsidP="00105B8A"/>
    <w:p w14:paraId="68B1512C" w14:textId="43B94A00" w:rsidR="00C53F1A" w:rsidRDefault="00D90671" w:rsidP="00105B8A">
      <w:r>
        <w:t xml:space="preserve">10.1 </w:t>
      </w:r>
      <w:r w:rsidR="00C53F1A">
        <w:t xml:space="preserve">The following key risks should be taken </w:t>
      </w:r>
      <w:r w:rsidR="00105B8A">
        <w:t>i</w:t>
      </w:r>
      <w:r w:rsidR="00C53F1A">
        <w:t>nto account when agreeing the recommendations in this report:</w:t>
      </w:r>
    </w:p>
    <w:p w14:paraId="7583FA52" w14:textId="77777777" w:rsidR="00C53F1A" w:rsidRDefault="00C53F1A" w:rsidP="00105B8A">
      <w:pPr>
        <w:ind w:left="567" w:right="141" w:hanging="567"/>
        <w:rPr>
          <w:rFonts w:cs="Arial"/>
          <w:szCs w:val="24"/>
          <w:lang w:val="en-US" w:eastAsia="en-GB"/>
        </w:rPr>
      </w:pPr>
    </w:p>
    <w:tbl>
      <w:tblPr>
        <w:tblW w:w="8635" w:type="dxa"/>
        <w:tblCellMar>
          <w:left w:w="10" w:type="dxa"/>
          <w:right w:w="10" w:type="dxa"/>
        </w:tblCellMar>
        <w:tblLook w:val="04A0" w:firstRow="1" w:lastRow="0" w:firstColumn="1" w:lastColumn="0" w:noHBand="0" w:noVBand="1"/>
        <w:tblCaption w:val="Risk description table"/>
        <w:tblDescription w:val="Risk description table listing risk management implications "/>
      </w:tblPr>
      <w:tblGrid>
        <w:gridCol w:w="3267"/>
        <w:gridCol w:w="3298"/>
        <w:gridCol w:w="2070"/>
      </w:tblGrid>
      <w:tr w:rsidR="00380F87" w14:paraId="1404D484" w14:textId="77777777" w:rsidTr="2D363C95">
        <w:trPr>
          <w:tblHeader/>
        </w:trPr>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bookmarkEnd w:id="0"/>
          <w:p w14:paraId="756F1795" w14:textId="77777777" w:rsidR="00380F87" w:rsidRDefault="00380F87" w:rsidP="00CB687A">
            <w:pPr>
              <w:spacing w:line="247" w:lineRule="auto"/>
              <w:ind w:right="141"/>
              <w:rPr>
                <w:rFonts w:cs="Arial"/>
                <w:b/>
                <w:bCs/>
                <w:szCs w:val="24"/>
                <w:lang w:val="en-US" w:eastAsia="en-GB"/>
              </w:rPr>
            </w:pPr>
            <w:r>
              <w:rPr>
                <w:rFonts w:cs="Arial"/>
                <w:b/>
                <w:bCs/>
                <w:szCs w:val="24"/>
                <w:lang w:val="en-US" w:eastAsia="en-GB"/>
              </w:rPr>
              <w:t>Risk Description</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41E899FA" w14:textId="77777777" w:rsidR="00380F87" w:rsidRDefault="00380F87" w:rsidP="00CB687A">
            <w:pPr>
              <w:spacing w:line="247" w:lineRule="auto"/>
              <w:ind w:right="141"/>
              <w:rPr>
                <w:rFonts w:cs="Arial"/>
                <w:b/>
                <w:bCs/>
                <w:szCs w:val="24"/>
                <w:lang w:val="en-US" w:eastAsia="en-GB"/>
              </w:rPr>
            </w:pPr>
            <w:r>
              <w:rPr>
                <w:rFonts w:cs="Arial"/>
                <w:b/>
                <w:bCs/>
                <w:szCs w:val="24"/>
                <w:lang w:val="en-US" w:eastAsia="en-GB"/>
              </w:rPr>
              <w:t>Mitigations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367E690" w14:textId="77777777" w:rsidR="00380F87" w:rsidRDefault="00380F87" w:rsidP="00CB687A">
            <w:pPr>
              <w:spacing w:line="247" w:lineRule="auto"/>
              <w:ind w:left="171" w:right="141"/>
              <w:rPr>
                <w:rFonts w:cs="Arial"/>
                <w:b/>
                <w:bCs/>
                <w:szCs w:val="24"/>
                <w:lang w:val="en-US" w:eastAsia="en-GB"/>
              </w:rPr>
            </w:pPr>
            <w:r>
              <w:rPr>
                <w:rFonts w:cs="Arial"/>
                <w:b/>
                <w:bCs/>
                <w:szCs w:val="24"/>
                <w:lang w:val="en-US" w:eastAsia="en-GB"/>
              </w:rPr>
              <w:t>RAG Status</w:t>
            </w:r>
          </w:p>
        </w:tc>
      </w:tr>
      <w:tr w:rsidR="00380F87" w14:paraId="4B1F0661" w14:textId="77777777" w:rsidTr="00515C85">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62FEBC0" w14:textId="77777777" w:rsidR="006A40C2" w:rsidRPr="00BB19B2" w:rsidRDefault="006A40C2" w:rsidP="006A40C2">
            <w:pPr>
              <w:pStyle w:val="Default"/>
              <w:rPr>
                <w:sz w:val="22"/>
                <w:szCs w:val="22"/>
              </w:rPr>
            </w:pPr>
            <w:r w:rsidRPr="00BB19B2">
              <w:rPr>
                <w:sz w:val="22"/>
                <w:szCs w:val="22"/>
              </w:rPr>
              <w:t xml:space="preserve">Without actions taken as a result of a clear strategy, there is a risk that: </w:t>
            </w:r>
          </w:p>
          <w:p w14:paraId="67066385" w14:textId="77777777" w:rsidR="006A40C2" w:rsidRPr="00BB19B2" w:rsidRDefault="006A40C2" w:rsidP="006A40C2">
            <w:pPr>
              <w:pStyle w:val="Default"/>
              <w:rPr>
                <w:sz w:val="22"/>
                <w:szCs w:val="22"/>
              </w:rPr>
            </w:pPr>
          </w:p>
          <w:p w14:paraId="390B217A" w14:textId="5D8056F9" w:rsidR="006A40C2" w:rsidRPr="00BB19B2" w:rsidRDefault="006A40C2" w:rsidP="00914805">
            <w:pPr>
              <w:pStyle w:val="Default"/>
              <w:numPr>
                <w:ilvl w:val="0"/>
                <w:numId w:val="10"/>
              </w:numPr>
              <w:rPr>
                <w:sz w:val="22"/>
                <w:szCs w:val="22"/>
              </w:rPr>
            </w:pPr>
            <w:r w:rsidRPr="00BB19B2">
              <w:rPr>
                <w:sz w:val="22"/>
                <w:szCs w:val="22"/>
              </w:rPr>
              <w:t xml:space="preserve">The economic challenges faced by the borough will </w:t>
            </w:r>
            <w:r w:rsidR="00CC3B56" w:rsidRPr="00BB19B2">
              <w:rPr>
                <w:sz w:val="22"/>
                <w:szCs w:val="22"/>
              </w:rPr>
              <w:t xml:space="preserve">widen and be </w:t>
            </w:r>
            <w:r w:rsidR="001C0BAA" w:rsidRPr="00BB19B2">
              <w:rPr>
                <w:sz w:val="22"/>
                <w:szCs w:val="22"/>
              </w:rPr>
              <w:t>intensified by the lack of strategic planning.</w:t>
            </w:r>
          </w:p>
          <w:p w14:paraId="1B3F2E98" w14:textId="77777777" w:rsidR="000B6D6E" w:rsidRPr="00BB19B2" w:rsidRDefault="006A40C2" w:rsidP="00914805">
            <w:pPr>
              <w:pStyle w:val="Default"/>
              <w:numPr>
                <w:ilvl w:val="0"/>
                <w:numId w:val="10"/>
              </w:numPr>
              <w:rPr>
                <w:sz w:val="22"/>
                <w:szCs w:val="22"/>
              </w:rPr>
            </w:pPr>
            <w:r w:rsidRPr="00BB19B2">
              <w:rPr>
                <w:sz w:val="22"/>
                <w:szCs w:val="22"/>
              </w:rPr>
              <w:t>There will be a decline in business survival rates</w:t>
            </w:r>
            <w:r w:rsidR="000B6D6E" w:rsidRPr="00BB19B2">
              <w:rPr>
                <w:sz w:val="22"/>
                <w:szCs w:val="22"/>
              </w:rPr>
              <w:t>.</w:t>
            </w:r>
            <w:r w:rsidRPr="00BB19B2">
              <w:rPr>
                <w:sz w:val="22"/>
                <w:szCs w:val="22"/>
              </w:rPr>
              <w:t xml:space="preserve"> </w:t>
            </w:r>
          </w:p>
          <w:p w14:paraId="337FC577" w14:textId="5E56ACD3" w:rsidR="006A40C2" w:rsidRPr="00BB19B2" w:rsidRDefault="006A40C2" w:rsidP="00914805">
            <w:pPr>
              <w:pStyle w:val="Default"/>
              <w:numPr>
                <w:ilvl w:val="0"/>
                <w:numId w:val="10"/>
              </w:numPr>
              <w:rPr>
                <w:sz w:val="22"/>
                <w:szCs w:val="22"/>
              </w:rPr>
            </w:pPr>
            <w:r w:rsidRPr="00BB19B2">
              <w:rPr>
                <w:sz w:val="22"/>
                <w:szCs w:val="22"/>
              </w:rPr>
              <w:t>Footfall in our town and district centres will decline</w:t>
            </w:r>
            <w:r w:rsidR="008F5781">
              <w:rPr>
                <w:sz w:val="22"/>
                <w:szCs w:val="22"/>
              </w:rPr>
              <w:t>.</w:t>
            </w:r>
            <w:r w:rsidRPr="00BB19B2">
              <w:rPr>
                <w:sz w:val="22"/>
                <w:szCs w:val="22"/>
              </w:rPr>
              <w:t xml:space="preserve"> </w:t>
            </w:r>
          </w:p>
          <w:p w14:paraId="47C73B46" w14:textId="38481E0B" w:rsidR="006A40C2" w:rsidRPr="00BB19B2" w:rsidRDefault="006A40C2" w:rsidP="00914805">
            <w:pPr>
              <w:pStyle w:val="Default"/>
              <w:numPr>
                <w:ilvl w:val="0"/>
                <w:numId w:val="10"/>
              </w:numPr>
              <w:rPr>
                <w:sz w:val="22"/>
                <w:szCs w:val="22"/>
              </w:rPr>
            </w:pPr>
            <w:r w:rsidRPr="00BB19B2">
              <w:rPr>
                <w:sz w:val="22"/>
                <w:szCs w:val="22"/>
              </w:rPr>
              <w:t xml:space="preserve">Local residents will be unable to secure employment and communities will continue to be impacted by </w:t>
            </w:r>
            <w:r w:rsidR="00D0152F" w:rsidRPr="00BB19B2">
              <w:rPr>
                <w:sz w:val="22"/>
                <w:szCs w:val="22"/>
              </w:rPr>
              <w:t xml:space="preserve">the cost of living causing </w:t>
            </w:r>
            <w:r w:rsidR="000B6D6E" w:rsidRPr="00BB19B2">
              <w:rPr>
                <w:sz w:val="22"/>
                <w:szCs w:val="22"/>
              </w:rPr>
              <w:t xml:space="preserve">deeper </w:t>
            </w:r>
            <w:r w:rsidRPr="00BB19B2">
              <w:rPr>
                <w:sz w:val="22"/>
                <w:szCs w:val="22"/>
              </w:rPr>
              <w:t>poverty</w:t>
            </w:r>
            <w:r w:rsidR="00D0152F" w:rsidRPr="00BB19B2">
              <w:rPr>
                <w:sz w:val="22"/>
                <w:szCs w:val="22"/>
              </w:rPr>
              <w:t xml:space="preserve"> </w:t>
            </w:r>
            <w:r w:rsidR="000B6D6E" w:rsidRPr="00BB19B2">
              <w:rPr>
                <w:sz w:val="22"/>
                <w:szCs w:val="22"/>
              </w:rPr>
              <w:t xml:space="preserve">and </w:t>
            </w:r>
            <w:r w:rsidRPr="00BB19B2">
              <w:rPr>
                <w:sz w:val="22"/>
                <w:szCs w:val="22"/>
              </w:rPr>
              <w:t>deprivation</w:t>
            </w:r>
            <w:r w:rsidR="000911D8" w:rsidRPr="00BB19B2">
              <w:rPr>
                <w:sz w:val="22"/>
                <w:szCs w:val="22"/>
              </w:rPr>
              <w:t>.</w:t>
            </w:r>
          </w:p>
          <w:p w14:paraId="18599A42" w14:textId="77777777" w:rsidR="00380F87" w:rsidRDefault="00380F87" w:rsidP="006A40C2">
            <w:pPr>
              <w:pStyle w:val="Default"/>
              <w:rPr>
                <w:lang w:val="en-US"/>
              </w:rPr>
            </w:pP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7DCD158" w14:textId="5CA93493" w:rsidR="00380F87" w:rsidRPr="008E5170" w:rsidRDefault="008E5170" w:rsidP="008E5170">
            <w:pPr>
              <w:pStyle w:val="Default"/>
              <w:rPr>
                <w:sz w:val="22"/>
                <w:szCs w:val="22"/>
              </w:rPr>
            </w:pPr>
            <w:r>
              <w:rPr>
                <w:sz w:val="22"/>
                <w:szCs w:val="22"/>
              </w:rPr>
              <w:t xml:space="preserve">The adoption and implementation of the proposed strategy and Objectives will help address the risks identified.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14:paraId="1BD16511" w14:textId="32A4E903" w:rsidR="00380F87" w:rsidRPr="00785DA8" w:rsidRDefault="00785DA8" w:rsidP="00785DA8">
            <w:pPr>
              <w:spacing w:line="247" w:lineRule="auto"/>
              <w:ind w:right="141"/>
              <w:jc w:val="center"/>
              <w:rPr>
                <w:rFonts w:cs="Arial"/>
                <w:b/>
                <w:bCs/>
                <w:szCs w:val="24"/>
                <w:lang w:val="en-US" w:eastAsia="en-GB"/>
              </w:rPr>
            </w:pPr>
            <w:r w:rsidRPr="00785DA8">
              <w:rPr>
                <w:rFonts w:cs="Arial"/>
                <w:b/>
                <w:bCs/>
                <w:szCs w:val="24"/>
                <w:lang w:val="en-US" w:eastAsia="en-GB"/>
              </w:rPr>
              <w:t>AMBER</w:t>
            </w:r>
          </w:p>
        </w:tc>
      </w:tr>
      <w:tr w:rsidR="00380F87" w14:paraId="6274505A" w14:textId="77777777" w:rsidTr="005E771D">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8B8425F" w14:textId="77777777" w:rsidR="000911D8" w:rsidRDefault="000911D8" w:rsidP="000911D8">
            <w:pPr>
              <w:pStyle w:val="Default"/>
              <w:rPr>
                <w:sz w:val="22"/>
                <w:szCs w:val="22"/>
              </w:rPr>
            </w:pPr>
            <w:r>
              <w:rPr>
                <w:sz w:val="22"/>
                <w:szCs w:val="22"/>
              </w:rPr>
              <w:t xml:space="preserve">Lack of funding to deliver the Strategy </w:t>
            </w:r>
          </w:p>
          <w:p w14:paraId="5A81B666" w14:textId="77777777" w:rsidR="00380F87" w:rsidRDefault="00380F87" w:rsidP="00CB687A">
            <w:pPr>
              <w:spacing w:line="247" w:lineRule="auto"/>
              <w:ind w:right="141"/>
              <w:rPr>
                <w:rFonts w:cs="Arial"/>
                <w:szCs w:val="24"/>
                <w:lang w:val="en-US" w:eastAsia="en-GB"/>
              </w:rPr>
            </w:pPr>
          </w:p>
          <w:p w14:paraId="6140A339" w14:textId="77777777" w:rsidR="005E771D" w:rsidRDefault="005E771D" w:rsidP="00CB687A">
            <w:pPr>
              <w:spacing w:line="247" w:lineRule="auto"/>
              <w:ind w:right="141"/>
              <w:rPr>
                <w:rFonts w:cs="Arial"/>
                <w:szCs w:val="24"/>
                <w:lang w:val="en-US" w:eastAsia="en-GB"/>
              </w:rPr>
            </w:pPr>
          </w:p>
          <w:p w14:paraId="533194DD" w14:textId="77777777" w:rsidR="005E771D" w:rsidRDefault="005E771D" w:rsidP="00CB687A">
            <w:pPr>
              <w:spacing w:line="247" w:lineRule="auto"/>
              <w:ind w:right="141"/>
              <w:rPr>
                <w:rFonts w:cs="Arial"/>
                <w:szCs w:val="24"/>
                <w:lang w:val="en-US" w:eastAsia="en-GB"/>
              </w:rPr>
            </w:pPr>
          </w:p>
          <w:p w14:paraId="250551F7" w14:textId="77777777" w:rsidR="005E771D" w:rsidRDefault="005E771D" w:rsidP="00CB687A">
            <w:pPr>
              <w:spacing w:line="247" w:lineRule="auto"/>
              <w:ind w:right="141"/>
              <w:rPr>
                <w:rFonts w:cs="Arial"/>
                <w:szCs w:val="24"/>
                <w:lang w:val="en-US" w:eastAsia="en-GB"/>
              </w:rPr>
            </w:pPr>
          </w:p>
          <w:p w14:paraId="4B58EAA4" w14:textId="77777777" w:rsidR="005E771D" w:rsidRDefault="005E771D" w:rsidP="00CB687A">
            <w:pPr>
              <w:spacing w:line="247" w:lineRule="auto"/>
              <w:ind w:right="141"/>
              <w:rPr>
                <w:rFonts w:cs="Arial"/>
                <w:szCs w:val="24"/>
                <w:lang w:val="en-US" w:eastAsia="en-GB"/>
              </w:rPr>
            </w:pPr>
          </w:p>
          <w:p w14:paraId="68361BE5" w14:textId="77777777" w:rsidR="005E771D" w:rsidRDefault="005E771D" w:rsidP="00CB687A">
            <w:pPr>
              <w:spacing w:line="247" w:lineRule="auto"/>
              <w:ind w:right="141"/>
              <w:rPr>
                <w:rFonts w:cs="Arial"/>
                <w:szCs w:val="24"/>
                <w:lang w:val="en-US" w:eastAsia="en-GB"/>
              </w:rPr>
            </w:pPr>
          </w:p>
          <w:p w14:paraId="6A3B3A2E" w14:textId="77777777" w:rsidR="005E771D" w:rsidRDefault="005E771D" w:rsidP="00CB687A">
            <w:pPr>
              <w:spacing w:line="247" w:lineRule="auto"/>
              <w:ind w:right="141"/>
              <w:rPr>
                <w:rFonts w:cs="Arial"/>
                <w:szCs w:val="24"/>
                <w:lang w:val="en-US" w:eastAsia="en-GB"/>
              </w:rPr>
            </w:pPr>
          </w:p>
          <w:p w14:paraId="78B12AB0" w14:textId="77777777" w:rsidR="005E771D" w:rsidRDefault="005E771D" w:rsidP="00CB687A">
            <w:pPr>
              <w:spacing w:line="247" w:lineRule="auto"/>
              <w:ind w:right="141"/>
              <w:rPr>
                <w:rFonts w:cs="Arial"/>
                <w:szCs w:val="24"/>
                <w:lang w:val="en-US" w:eastAsia="en-GB"/>
              </w:rPr>
            </w:pPr>
          </w:p>
          <w:p w14:paraId="0044A2D7" w14:textId="23366443" w:rsidR="005E771D" w:rsidRDefault="005E771D" w:rsidP="00CB687A">
            <w:pPr>
              <w:spacing w:line="247" w:lineRule="auto"/>
              <w:ind w:right="141"/>
              <w:rPr>
                <w:rFonts w:cs="Arial"/>
                <w:szCs w:val="24"/>
                <w:lang w:val="en-US" w:eastAsia="en-GB"/>
              </w:rPr>
            </w:pP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427BF49" w14:textId="6753769B" w:rsidR="00380F87" w:rsidRPr="008F5781" w:rsidRDefault="000911D8" w:rsidP="00914805">
            <w:pPr>
              <w:pStyle w:val="ListParagraph"/>
              <w:numPr>
                <w:ilvl w:val="0"/>
                <w:numId w:val="1"/>
              </w:numPr>
              <w:suppressAutoHyphens/>
              <w:autoSpaceDN w:val="0"/>
              <w:spacing w:line="247" w:lineRule="auto"/>
              <w:ind w:left="171" w:right="141" w:hanging="171"/>
              <w:rPr>
                <w:sz w:val="22"/>
                <w:szCs w:val="22"/>
                <w:lang w:val="en-US"/>
              </w:rPr>
            </w:pPr>
            <w:r w:rsidRPr="008F5781">
              <w:rPr>
                <w:sz w:val="22"/>
                <w:szCs w:val="22"/>
                <w:lang w:val="en-US"/>
              </w:rPr>
              <w:lastRenderedPageBreak/>
              <w:t xml:space="preserve">The </w:t>
            </w:r>
            <w:r w:rsidR="00114FB7" w:rsidRPr="008F5781">
              <w:rPr>
                <w:sz w:val="22"/>
                <w:szCs w:val="22"/>
                <w:lang w:val="en-US"/>
              </w:rPr>
              <w:t xml:space="preserve">targets and </w:t>
            </w:r>
            <w:r w:rsidRPr="008F5781">
              <w:rPr>
                <w:sz w:val="22"/>
                <w:szCs w:val="22"/>
                <w:lang w:val="en-US"/>
              </w:rPr>
              <w:t xml:space="preserve">objectives </w:t>
            </w:r>
            <w:r w:rsidR="00114FB7" w:rsidRPr="008F5781">
              <w:rPr>
                <w:sz w:val="22"/>
                <w:szCs w:val="22"/>
                <w:lang w:val="en-US"/>
              </w:rPr>
              <w:t>within the strat</w:t>
            </w:r>
            <w:r w:rsidR="005E771D" w:rsidRPr="008F5781">
              <w:rPr>
                <w:sz w:val="22"/>
                <w:szCs w:val="22"/>
                <w:lang w:val="en-US"/>
              </w:rPr>
              <w:t>egy</w:t>
            </w:r>
            <w:r w:rsidRPr="008F5781">
              <w:rPr>
                <w:sz w:val="22"/>
                <w:szCs w:val="22"/>
                <w:lang w:val="en-US"/>
              </w:rPr>
              <w:t xml:space="preserve"> alig</w:t>
            </w:r>
            <w:r w:rsidR="005E771D" w:rsidRPr="008F5781">
              <w:rPr>
                <w:sz w:val="22"/>
                <w:szCs w:val="22"/>
                <w:lang w:val="en-US"/>
              </w:rPr>
              <w:t>n</w:t>
            </w:r>
            <w:r w:rsidRPr="008F5781">
              <w:rPr>
                <w:sz w:val="22"/>
                <w:szCs w:val="22"/>
                <w:lang w:val="en-US"/>
              </w:rPr>
              <w:t xml:space="preserve"> with </w:t>
            </w:r>
            <w:r w:rsidR="005E771D" w:rsidRPr="008F5781">
              <w:rPr>
                <w:sz w:val="22"/>
                <w:szCs w:val="22"/>
                <w:lang w:val="en-US"/>
              </w:rPr>
              <w:lastRenderedPageBreak/>
              <w:t xml:space="preserve">priorities of </w:t>
            </w:r>
            <w:r w:rsidRPr="008F5781">
              <w:rPr>
                <w:sz w:val="22"/>
                <w:szCs w:val="22"/>
                <w:lang w:val="en-US"/>
              </w:rPr>
              <w:t>local and regional and national funding regimes.</w:t>
            </w:r>
          </w:p>
          <w:p w14:paraId="79FDFF6E" w14:textId="0D3316CB" w:rsidR="00380F87" w:rsidRPr="00EA5118" w:rsidRDefault="00114FB7" w:rsidP="00914805">
            <w:pPr>
              <w:pStyle w:val="ListParagraph"/>
              <w:numPr>
                <w:ilvl w:val="0"/>
                <w:numId w:val="1"/>
              </w:numPr>
              <w:suppressAutoHyphens/>
              <w:autoSpaceDN w:val="0"/>
              <w:spacing w:line="247" w:lineRule="auto"/>
              <w:ind w:left="171" w:right="141" w:hanging="171"/>
              <w:rPr>
                <w:szCs w:val="24"/>
                <w:lang w:val="en-US"/>
              </w:rPr>
            </w:pPr>
            <w:r w:rsidRPr="008F5781">
              <w:rPr>
                <w:sz w:val="22"/>
                <w:szCs w:val="22"/>
                <w:lang w:val="en-US"/>
              </w:rPr>
              <w:t>Th</w:t>
            </w:r>
            <w:r w:rsidR="00DD472E">
              <w:rPr>
                <w:sz w:val="22"/>
                <w:szCs w:val="22"/>
                <w:lang w:val="en-US"/>
              </w:rPr>
              <w:t xml:space="preserve">e </w:t>
            </w:r>
            <w:r w:rsidR="000911D8" w:rsidRPr="008F5781">
              <w:rPr>
                <w:sz w:val="22"/>
                <w:szCs w:val="22"/>
                <w:lang w:val="en-US"/>
              </w:rPr>
              <w:t xml:space="preserve">UKSPF </w:t>
            </w:r>
            <w:r w:rsidR="00681716" w:rsidRPr="008F5781">
              <w:rPr>
                <w:sz w:val="22"/>
                <w:szCs w:val="22"/>
                <w:lang w:val="en-US"/>
              </w:rPr>
              <w:t xml:space="preserve">and </w:t>
            </w:r>
            <w:r w:rsidR="008F5781">
              <w:rPr>
                <w:sz w:val="22"/>
                <w:szCs w:val="22"/>
                <w:lang w:val="en-US"/>
              </w:rPr>
              <w:t>o</w:t>
            </w:r>
            <w:r w:rsidR="00681716" w:rsidRPr="008F5781">
              <w:rPr>
                <w:sz w:val="22"/>
                <w:szCs w:val="22"/>
                <w:lang w:val="en-US"/>
              </w:rPr>
              <w:t>the</w:t>
            </w:r>
            <w:r w:rsidR="00DD472E">
              <w:rPr>
                <w:sz w:val="22"/>
                <w:szCs w:val="22"/>
                <w:lang w:val="en-US"/>
              </w:rPr>
              <w:t>r</w:t>
            </w:r>
            <w:r w:rsidR="00681716" w:rsidRPr="008F5781">
              <w:rPr>
                <w:sz w:val="22"/>
                <w:szCs w:val="22"/>
                <w:lang w:val="en-US"/>
              </w:rPr>
              <w:t xml:space="preserve"> </w:t>
            </w:r>
            <w:r w:rsidR="000911D8" w:rsidRPr="008F5781">
              <w:rPr>
                <w:sz w:val="22"/>
                <w:szCs w:val="22"/>
                <w:lang w:val="en-US"/>
              </w:rPr>
              <w:t xml:space="preserve">funding </w:t>
            </w:r>
            <w:r w:rsidR="00DD472E">
              <w:rPr>
                <w:sz w:val="22"/>
                <w:szCs w:val="22"/>
                <w:lang w:val="en-US"/>
              </w:rPr>
              <w:t>sources will help to</w:t>
            </w:r>
            <w:r w:rsidRPr="008F5781">
              <w:rPr>
                <w:sz w:val="22"/>
                <w:szCs w:val="22"/>
                <w:lang w:val="en-US"/>
              </w:rPr>
              <w:t xml:space="preserve"> deliver the targets and o</w:t>
            </w:r>
            <w:r w:rsidR="005E771D" w:rsidRPr="008F5781">
              <w:rPr>
                <w:sz w:val="22"/>
                <w:szCs w:val="22"/>
                <w:lang w:val="en-US"/>
              </w:rPr>
              <w:t>bjectives within the strategy.</w:t>
            </w:r>
            <w:r w:rsidR="005E771D">
              <w:rPr>
                <w:szCs w:val="24"/>
                <w:lang w:val="en-US"/>
              </w:rPr>
              <w:t xml:space="preserve">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14:paraId="203D15A6" w14:textId="419C3E6F" w:rsidR="00380F87" w:rsidRPr="00785DA8" w:rsidRDefault="00785DA8" w:rsidP="00785DA8">
            <w:pPr>
              <w:spacing w:line="247" w:lineRule="auto"/>
              <w:ind w:right="141"/>
              <w:jc w:val="center"/>
              <w:rPr>
                <w:rFonts w:cs="Arial"/>
                <w:b/>
                <w:bCs/>
                <w:szCs w:val="24"/>
                <w:lang w:val="en-US" w:eastAsia="en-GB"/>
              </w:rPr>
            </w:pPr>
            <w:r w:rsidRPr="00785DA8">
              <w:rPr>
                <w:rFonts w:cs="Arial"/>
                <w:b/>
                <w:bCs/>
                <w:szCs w:val="24"/>
                <w:lang w:val="en-US" w:eastAsia="en-GB"/>
              </w:rPr>
              <w:lastRenderedPageBreak/>
              <w:t>AMBER</w:t>
            </w:r>
          </w:p>
        </w:tc>
      </w:tr>
      <w:tr w:rsidR="00EA5118" w14:paraId="722A8B56" w14:textId="77777777" w:rsidTr="005E771D">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C536DDD" w14:textId="65C8C6F1" w:rsidR="00EA5118" w:rsidRDefault="00EA5118" w:rsidP="00EA5118">
            <w:pPr>
              <w:pStyle w:val="Default"/>
              <w:rPr>
                <w:sz w:val="22"/>
                <w:szCs w:val="22"/>
              </w:rPr>
            </w:pPr>
            <w:r>
              <w:rPr>
                <w:sz w:val="22"/>
                <w:szCs w:val="22"/>
              </w:rPr>
              <w:t xml:space="preserve">Inability to deliver agreed objectives and targets.  </w:t>
            </w:r>
          </w:p>
          <w:p w14:paraId="71ED8DA0" w14:textId="77777777" w:rsidR="00EA5118" w:rsidRDefault="00EA5118" w:rsidP="000911D8">
            <w:pPr>
              <w:pStyle w:val="Default"/>
              <w:rPr>
                <w:sz w:val="22"/>
                <w:szCs w:val="22"/>
              </w:rPr>
            </w:pP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84C4DC0" w14:textId="724F8149" w:rsidR="00C352E9" w:rsidRDefault="00C352E9" w:rsidP="00914805">
            <w:pPr>
              <w:pStyle w:val="ListParagraph"/>
              <w:numPr>
                <w:ilvl w:val="0"/>
                <w:numId w:val="1"/>
              </w:numPr>
              <w:rPr>
                <w:sz w:val="22"/>
                <w:szCs w:val="22"/>
                <w:lang w:val="en-US"/>
              </w:rPr>
            </w:pPr>
            <w:r>
              <w:rPr>
                <w:sz w:val="22"/>
                <w:szCs w:val="22"/>
              </w:rPr>
              <w:t>Continuation of the Economic Strategy Steering Group to develop</w:t>
            </w:r>
            <w:r w:rsidRPr="00DA4D09">
              <w:rPr>
                <w:sz w:val="22"/>
                <w:szCs w:val="22"/>
              </w:rPr>
              <w:t xml:space="preserve"> joint reporting and performance framework with statutory partners and stakeholders to capture the social and economic impact of their work in Harrow.</w:t>
            </w:r>
          </w:p>
          <w:p w14:paraId="1E2E9695" w14:textId="77777777" w:rsidR="00C352E9" w:rsidRPr="00C352E9" w:rsidRDefault="00D07A96" w:rsidP="00914805">
            <w:pPr>
              <w:pStyle w:val="ListParagraph"/>
              <w:numPr>
                <w:ilvl w:val="0"/>
                <w:numId w:val="1"/>
              </w:numPr>
              <w:rPr>
                <w:sz w:val="22"/>
                <w:szCs w:val="22"/>
                <w:lang w:val="en-US"/>
              </w:rPr>
            </w:pPr>
            <w:r w:rsidRPr="00DA4D09">
              <w:rPr>
                <w:sz w:val="22"/>
                <w:szCs w:val="22"/>
                <w:lang w:val="en-US"/>
              </w:rPr>
              <w:t xml:space="preserve">Develop and implement programme and project management methodology across capital and revenue </w:t>
            </w:r>
            <w:r w:rsidR="00037282" w:rsidRPr="00DA4D09">
              <w:rPr>
                <w:sz w:val="22"/>
                <w:szCs w:val="22"/>
              </w:rPr>
              <w:t>programmes that will ensure the strategic management of projects</w:t>
            </w:r>
            <w:r w:rsidR="00C352E9">
              <w:rPr>
                <w:sz w:val="22"/>
                <w:szCs w:val="22"/>
              </w:rPr>
              <w:t>.</w:t>
            </w:r>
          </w:p>
          <w:p w14:paraId="415F2940" w14:textId="1FB72967" w:rsidR="00EA5118" w:rsidRPr="00C352E9" w:rsidRDefault="00DA4D09" w:rsidP="00914805">
            <w:pPr>
              <w:pStyle w:val="ListParagraph"/>
              <w:numPr>
                <w:ilvl w:val="0"/>
                <w:numId w:val="1"/>
              </w:numPr>
              <w:rPr>
                <w:sz w:val="22"/>
                <w:szCs w:val="22"/>
                <w:lang w:val="en-US"/>
              </w:rPr>
            </w:pPr>
            <w:r w:rsidRPr="00C352E9">
              <w:rPr>
                <w:sz w:val="22"/>
                <w:szCs w:val="22"/>
              </w:rPr>
              <w:t xml:space="preserve">Develop and implement financial, quality, and performance management systems that monitor and support the delivery of targets on time and within budget.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14:paraId="7ABE50B1" w14:textId="5EE15825" w:rsidR="00EA5118" w:rsidRPr="00785DA8" w:rsidRDefault="00785DA8" w:rsidP="00785DA8">
            <w:pPr>
              <w:spacing w:line="247" w:lineRule="auto"/>
              <w:ind w:right="141"/>
              <w:jc w:val="center"/>
              <w:rPr>
                <w:rFonts w:cs="Arial"/>
                <w:b/>
                <w:bCs/>
                <w:szCs w:val="24"/>
                <w:lang w:val="en-US" w:eastAsia="en-GB"/>
              </w:rPr>
            </w:pPr>
            <w:r w:rsidRPr="00785DA8">
              <w:rPr>
                <w:rFonts w:cs="Arial"/>
                <w:b/>
                <w:bCs/>
                <w:szCs w:val="24"/>
                <w:lang w:val="en-US" w:eastAsia="en-GB"/>
              </w:rPr>
              <w:t>AMBER</w:t>
            </w:r>
          </w:p>
        </w:tc>
      </w:tr>
      <w:tr w:rsidR="005B26D9" w14:paraId="58180A66" w14:textId="77777777" w:rsidTr="005E771D">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E65D978" w14:textId="77777777" w:rsidR="005B26D9" w:rsidRPr="00C352E9" w:rsidRDefault="005B26D9" w:rsidP="005B26D9">
            <w:pPr>
              <w:pStyle w:val="Default"/>
              <w:rPr>
                <w:sz w:val="22"/>
                <w:szCs w:val="22"/>
              </w:rPr>
            </w:pPr>
            <w:r w:rsidRPr="00C352E9">
              <w:rPr>
                <w:sz w:val="22"/>
                <w:szCs w:val="22"/>
              </w:rPr>
              <w:t xml:space="preserve">Lack of capacity to support all people needing skills or employment </w:t>
            </w:r>
          </w:p>
          <w:p w14:paraId="75D5E418" w14:textId="77777777" w:rsidR="005B26D9" w:rsidRPr="00C352E9" w:rsidRDefault="005B26D9" w:rsidP="00EA5118">
            <w:pPr>
              <w:pStyle w:val="Default"/>
              <w:rPr>
                <w:sz w:val="22"/>
                <w:szCs w:val="22"/>
              </w:rPr>
            </w:pP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9C84052" w14:textId="57D3396D" w:rsidR="00C352E9" w:rsidRPr="00C352E9" w:rsidRDefault="005B26D9" w:rsidP="00914805">
            <w:pPr>
              <w:pStyle w:val="ListParagraph"/>
              <w:numPr>
                <w:ilvl w:val="0"/>
                <w:numId w:val="1"/>
              </w:numPr>
              <w:rPr>
                <w:sz w:val="22"/>
                <w:szCs w:val="22"/>
                <w:lang w:val="en-US"/>
              </w:rPr>
            </w:pPr>
            <w:r w:rsidRPr="00C352E9">
              <w:rPr>
                <w:sz w:val="22"/>
                <w:szCs w:val="22"/>
              </w:rPr>
              <w:t xml:space="preserve">Continuation of the Harrow Education and Jobs working </w:t>
            </w:r>
            <w:r w:rsidR="00DD472E">
              <w:rPr>
                <w:sz w:val="22"/>
                <w:szCs w:val="22"/>
              </w:rPr>
              <w:t xml:space="preserve">group </w:t>
            </w:r>
            <w:r w:rsidRPr="00C352E9">
              <w:rPr>
                <w:sz w:val="22"/>
                <w:szCs w:val="22"/>
              </w:rPr>
              <w:t xml:space="preserve">with statutory partners and stakeholders </w:t>
            </w:r>
            <w:r w:rsidR="00B6207C" w:rsidRPr="00C352E9">
              <w:rPr>
                <w:sz w:val="22"/>
                <w:szCs w:val="22"/>
              </w:rPr>
              <w:t>to share</w:t>
            </w:r>
            <w:r w:rsidR="003B51F5" w:rsidRPr="00C352E9">
              <w:rPr>
                <w:sz w:val="22"/>
                <w:szCs w:val="22"/>
              </w:rPr>
              <w:t xml:space="preserve"> information, raise awareness of support programmes, make</w:t>
            </w:r>
            <w:r w:rsidR="00B6207C" w:rsidRPr="00C352E9">
              <w:rPr>
                <w:sz w:val="22"/>
                <w:szCs w:val="22"/>
              </w:rPr>
              <w:t xml:space="preserve"> referrals, </w:t>
            </w:r>
            <w:r w:rsidRPr="00C352E9">
              <w:rPr>
                <w:sz w:val="22"/>
                <w:szCs w:val="22"/>
              </w:rPr>
              <w:t xml:space="preserve">co-ordinate </w:t>
            </w:r>
            <w:r w:rsidR="00B6207C" w:rsidRPr="00C352E9">
              <w:rPr>
                <w:sz w:val="22"/>
                <w:szCs w:val="22"/>
              </w:rPr>
              <w:t>work and support funding bids.</w:t>
            </w:r>
          </w:p>
          <w:p w14:paraId="2906BCB0" w14:textId="4BAF3625" w:rsidR="00C352E9" w:rsidRPr="00C352E9" w:rsidRDefault="00C352E9" w:rsidP="00914805">
            <w:pPr>
              <w:pStyle w:val="ListParagraph"/>
              <w:numPr>
                <w:ilvl w:val="0"/>
                <w:numId w:val="1"/>
              </w:numPr>
              <w:rPr>
                <w:sz w:val="22"/>
                <w:szCs w:val="22"/>
                <w:lang w:val="en-US"/>
              </w:rPr>
            </w:pPr>
            <w:r w:rsidRPr="00C352E9">
              <w:rPr>
                <w:sz w:val="22"/>
                <w:szCs w:val="22"/>
              </w:rPr>
              <w:t>Building on existing programmes locally and on a sub-regional basis</w:t>
            </w:r>
            <w:r w:rsidR="00BC6FB5">
              <w:rPr>
                <w:sz w:val="22"/>
                <w:szCs w:val="22"/>
              </w:rPr>
              <w:t>.</w:t>
            </w:r>
          </w:p>
          <w:p w14:paraId="30432712" w14:textId="1BBD01A2" w:rsidR="00C352E9" w:rsidRPr="00C352E9" w:rsidRDefault="00C352E9" w:rsidP="00914805">
            <w:pPr>
              <w:pStyle w:val="ListParagraph"/>
              <w:numPr>
                <w:ilvl w:val="0"/>
                <w:numId w:val="1"/>
              </w:numPr>
              <w:rPr>
                <w:sz w:val="22"/>
                <w:szCs w:val="22"/>
                <w:lang w:val="en-US"/>
              </w:rPr>
            </w:pPr>
            <w:r w:rsidRPr="00C352E9">
              <w:rPr>
                <w:sz w:val="22"/>
                <w:szCs w:val="22"/>
              </w:rPr>
              <w:t>Alignment with national, regional and sub-regional strategic priorities</w:t>
            </w:r>
            <w:r w:rsidR="00BC6FB5">
              <w:rPr>
                <w:sz w:val="22"/>
                <w:szCs w:val="22"/>
              </w:rPr>
              <w:t>.</w:t>
            </w:r>
          </w:p>
          <w:p w14:paraId="299C7371" w14:textId="2E4172DA" w:rsidR="00C352E9" w:rsidRPr="00C352E9" w:rsidRDefault="00C352E9" w:rsidP="00914805">
            <w:pPr>
              <w:pStyle w:val="ListParagraph"/>
              <w:numPr>
                <w:ilvl w:val="0"/>
                <w:numId w:val="1"/>
              </w:numPr>
              <w:rPr>
                <w:sz w:val="22"/>
                <w:szCs w:val="22"/>
                <w:lang w:val="en-US"/>
              </w:rPr>
            </w:pPr>
            <w:r w:rsidRPr="00C352E9">
              <w:rPr>
                <w:sz w:val="22"/>
                <w:szCs w:val="22"/>
              </w:rPr>
              <w:t xml:space="preserve">Maximising social value generated through the planning and procurement process.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14:paraId="7205804D" w14:textId="24F4B18A" w:rsidR="005B26D9" w:rsidRPr="00785DA8" w:rsidRDefault="00785DA8" w:rsidP="00785DA8">
            <w:pPr>
              <w:spacing w:line="247" w:lineRule="auto"/>
              <w:ind w:right="141"/>
              <w:jc w:val="center"/>
              <w:rPr>
                <w:rFonts w:cs="Arial"/>
                <w:b/>
                <w:bCs/>
                <w:sz w:val="22"/>
                <w:szCs w:val="22"/>
                <w:lang w:val="en-US" w:eastAsia="en-GB"/>
              </w:rPr>
            </w:pPr>
            <w:r w:rsidRPr="00785DA8">
              <w:rPr>
                <w:rFonts w:cs="Arial"/>
                <w:b/>
                <w:bCs/>
                <w:sz w:val="22"/>
                <w:szCs w:val="22"/>
                <w:lang w:val="en-US" w:eastAsia="en-GB"/>
              </w:rPr>
              <w:t>AMBER</w:t>
            </w:r>
          </w:p>
        </w:tc>
      </w:tr>
      <w:tr w:rsidR="00906667" w14:paraId="6BFF161D" w14:textId="77777777" w:rsidTr="00906667">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D777689" w14:textId="77777777" w:rsidR="00906667" w:rsidRPr="00C2379B" w:rsidRDefault="00906667" w:rsidP="00906667">
            <w:pPr>
              <w:pStyle w:val="Default"/>
              <w:rPr>
                <w:color w:val="000000" w:themeColor="text1"/>
                <w:sz w:val="22"/>
                <w:szCs w:val="22"/>
              </w:rPr>
            </w:pPr>
            <w:r w:rsidRPr="00C2379B">
              <w:rPr>
                <w:color w:val="000000" w:themeColor="text1"/>
                <w:sz w:val="22"/>
                <w:szCs w:val="22"/>
              </w:rPr>
              <w:lastRenderedPageBreak/>
              <w:t>The strategy lacks flexibility and cannot adapt to changing circumstances</w:t>
            </w:r>
          </w:p>
          <w:p w14:paraId="170EC48F" w14:textId="77777777" w:rsidR="00906667" w:rsidRPr="00C2379B" w:rsidRDefault="00906667" w:rsidP="00906667">
            <w:pPr>
              <w:pStyle w:val="Default"/>
              <w:rPr>
                <w:color w:val="000000" w:themeColor="text1"/>
                <w:sz w:val="22"/>
                <w:szCs w:val="22"/>
              </w:rPr>
            </w:pP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B0B259B" w14:textId="3CF475AC" w:rsidR="00906667" w:rsidRPr="00C2379B" w:rsidRDefault="00906667" w:rsidP="00906667">
            <w:pPr>
              <w:pStyle w:val="ListParagraph"/>
              <w:numPr>
                <w:ilvl w:val="0"/>
                <w:numId w:val="1"/>
              </w:numPr>
              <w:rPr>
                <w:color w:val="000000" w:themeColor="text1"/>
                <w:sz w:val="22"/>
                <w:szCs w:val="22"/>
              </w:rPr>
            </w:pPr>
            <w:r w:rsidRPr="00C2379B">
              <w:rPr>
                <w:color w:val="000000" w:themeColor="text1"/>
                <w:sz w:val="22"/>
                <w:szCs w:val="22"/>
              </w:rPr>
              <w:t>Review and evaluation processes are built into the externally funded programmes which are financing delivery of the economic strategy</w:t>
            </w:r>
            <w:r w:rsidR="00BC6FB5">
              <w:rPr>
                <w:color w:val="000000" w:themeColor="text1"/>
                <w:sz w:val="22"/>
                <w:szCs w:val="22"/>
              </w:rPr>
              <w:t>.</w:t>
            </w:r>
            <w:r w:rsidRPr="00C2379B">
              <w:rPr>
                <w:color w:val="000000" w:themeColor="text1"/>
                <w:sz w:val="22"/>
                <w:szCs w:val="22"/>
              </w:rPr>
              <w:t xml:space="preserve"> </w:t>
            </w:r>
          </w:p>
          <w:p w14:paraId="55AEA238" w14:textId="09532ED0" w:rsidR="00906667" w:rsidRPr="00C2379B" w:rsidRDefault="00906667" w:rsidP="00906667">
            <w:pPr>
              <w:pStyle w:val="ListParagraph"/>
              <w:numPr>
                <w:ilvl w:val="0"/>
                <w:numId w:val="1"/>
              </w:numPr>
              <w:rPr>
                <w:color w:val="000000" w:themeColor="text1"/>
                <w:sz w:val="22"/>
                <w:szCs w:val="22"/>
              </w:rPr>
            </w:pPr>
            <w:r w:rsidRPr="00C2379B">
              <w:rPr>
                <w:color w:val="000000" w:themeColor="text1"/>
                <w:sz w:val="22"/>
                <w:szCs w:val="22"/>
              </w:rPr>
              <w:t>Shorter timetable for the strategy than the previous strategy enables us to be more flexible on setting/resetting our objectives</w:t>
            </w:r>
            <w:r w:rsidR="00BC6FB5">
              <w:rPr>
                <w:color w:val="000000" w:themeColor="text1"/>
                <w:sz w:val="22"/>
                <w:szCs w:val="22"/>
              </w:rPr>
              <w:t>.</w:t>
            </w:r>
            <w:r w:rsidRPr="00C2379B">
              <w:rPr>
                <w:color w:val="000000" w:themeColor="text1"/>
                <w:sz w:val="22"/>
                <w:szCs w:val="22"/>
              </w:rPr>
              <w:t xml:space="preserve"> </w:t>
            </w:r>
          </w:p>
          <w:p w14:paraId="2C9759C6" w14:textId="5737A78B" w:rsidR="00906667" w:rsidRPr="00C2379B" w:rsidRDefault="00906667" w:rsidP="00906667">
            <w:pPr>
              <w:pStyle w:val="ListParagraph"/>
              <w:numPr>
                <w:ilvl w:val="0"/>
                <w:numId w:val="1"/>
              </w:numPr>
              <w:rPr>
                <w:color w:val="000000" w:themeColor="text1"/>
                <w:sz w:val="22"/>
                <w:szCs w:val="22"/>
              </w:rPr>
            </w:pPr>
            <w:r w:rsidRPr="00C2379B">
              <w:rPr>
                <w:color w:val="000000" w:themeColor="text1"/>
                <w:sz w:val="22"/>
                <w:szCs w:val="22"/>
              </w:rPr>
              <w:t>The evidence base (incl: the 2021 Census) is built upon 5 year trends not expected to change in the sh</w:t>
            </w:r>
            <w:r w:rsidR="00C2379B">
              <w:rPr>
                <w:color w:val="000000" w:themeColor="text1"/>
                <w:sz w:val="22"/>
                <w:szCs w:val="22"/>
              </w:rPr>
              <w:t>o</w:t>
            </w:r>
            <w:r w:rsidRPr="00C2379B">
              <w:rPr>
                <w:color w:val="000000" w:themeColor="text1"/>
                <w:sz w:val="22"/>
                <w:szCs w:val="22"/>
              </w:rPr>
              <w:t>rt term</w:t>
            </w:r>
            <w:r w:rsidR="00BC6FB5">
              <w:rPr>
                <w:color w:val="000000" w:themeColor="text1"/>
                <w:sz w:val="22"/>
                <w:szCs w:val="22"/>
              </w:rPr>
              <w:t>.</w:t>
            </w:r>
            <w:r w:rsidRPr="00C2379B">
              <w:rPr>
                <w:color w:val="000000" w:themeColor="text1"/>
                <w:sz w:val="22"/>
                <w:szCs w:val="22"/>
              </w:rPr>
              <w:t xml:space="preserve">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Pr>
          <w:p w14:paraId="455BC0C5" w14:textId="727FF007" w:rsidR="00906667" w:rsidRPr="00785DA8" w:rsidRDefault="00C2379B" w:rsidP="00906667">
            <w:pPr>
              <w:spacing w:line="247" w:lineRule="auto"/>
              <w:ind w:right="141"/>
              <w:jc w:val="center"/>
              <w:rPr>
                <w:rFonts w:cs="Arial"/>
                <w:b/>
                <w:bCs/>
                <w:sz w:val="22"/>
                <w:szCs w:val="22"/>
                <w:lang w:val="en-US" w:eastAsia="en-GB"/>
              </w:rPr>
            </w:pPr>
            <w:r>
              <w:rPr>
                <w:rFonts w:cs="Arial"/>
                <w:b/>
                <w:bCs/>
                <w:sz w:val="22"/>
                <w:szCs w:val="22"/>
                <w:lang w:val="en-US" w:eastAsia="en-GB"/>
              </w:rPr>
              <w:t>GREEN</w:t>
            </w:r>
          </w:p>
        </w:tc>
      </w:tr>
      <w:bookmarkEnd w:id="1"/>
      <w:bookmarkEnd w:id="2"/>
    </w:tbl>
    <w:p w14:paraId="68FA5969" w14:textId="77777777" w:rsidR="00F92CA0" w:rsidRDefault="00F92CA0" w:rsidP="00F92CA0">
      <w:pPr>
        <w:pStyle w:val="Heading3"/>
        <w:spacing w:before="480" w:after="240"/>
        <w:ind w:left="0" w:firstLine="0"/>
      </w:pPr>
    </w:p>
    <w:p w14:paraId="0249BBDB" w14:textId="50BAF8DA" w:rsidR="002A3FEF" w:rsidRDefault="002A3FEF" w:rsidP="00F92CA0">
      <w:pPr>
        <w:pStyle w:val="Heading3"/>
        <w:numPr>
          <w:ilvl w:val="0"/>
          <w:numId w:val="3"/>
        </w:numPr>
        <w:spacing w:before="480" w:after="240"/>
      </w:pPr>
      <w:r>
        <w:t>Procurement Implications</w:t>
      </w:r>
    </w:p>
    <w:p w14:paraId="649CBF68" w14:textId="292F1F13" w:rsidR="00BB6C1E" w:rsidRPr="00A46BD5" w:rsidRDefault="00BB6C1E" w:rsidP="00BB6C1E">
      <w:pPr>
        <w:pStyle w:val="ListParagraph"/>
        <w:numPr>
          <w:ilvl w:val="1"/>
          <w:numId w:val="3"/>
        </w:numPr>
        <w:rPr>
          <w:color w:val="000000" w:themeColor="text1"/>
          <w:lang w:eastAsia="en-GB"/>
        </w:rPr>
      </w:pPr>
      <w:r w:rsidRPr="00A46BD5">
        <w:rPr>
          <w:color w:val="000000" w:themeColor="text1"/>
          <w:lang w:eastAsia="en-GB"/>
        </w:rPr>
        <w:t xml:space="preserve">The Council’s spends vast sums of money annually buying works, goods and services from the private sector. Our Contract Procedure Rules require officers to seek quotations from local providers for all procurement with a value </w:t>
      </w:r>
      <w:r w:rsidR="00A46BD5" w:rsidRPr="00A46BD5">
        <w:rPr>
          <w:color w:val="000000" w:themeColor="text1"/>
          <w:lang w:eastAsia="en-GB"/>
        </w:rPr>
        <w:t>o</w:t>
      </w:r>
      <w:r w:rsidRPr="00A46BD5">
        <w:rPr>
          <w:color w:val="000000" w:themeColor="text1"/>
          <w:lang w:eastAsia="en-GB"/>
        </w:rPr>
        <w:t>f up to £100,000.</w:t>
      </w:r>
    </w:p>
    <w:p w14:paraId="6C67EC2B" w14:textId="77777777" w:rsidR="00BB6C1E" w:rsidRPr="00A46BD5" w:rsidRDefault="00BB6C1E" w:rsidP="00BB6C1E">
      <w:pPr>
        <w:pStyle w:val="ListParagraph"/>
        <w:ind w:left="543"/>
        <w:rPr>
          <w:color w:val="000000" w:themeColor="text1"/>
          <w:lang w:eastAsia="en-GB"/>
        </w:rPr>
      </w:pPr>
      <w:r w:rsidRPr="00A46BD5">
        <w:rPr>
          <w:color w:val="000000" w:themeColor="text1"/>
          <w:lang w:eastAsia="en-GB"/>
        </w:rPr>
        <w:t xml:space="preserve"> </w:t>
      </w:r>
    </w:p>
    <w:p w14:paraId="69DC2355" w14:textId="27668E64" w:rsidR="00BB6C1E" w:rsidRPr="00A46BD5" w:rsidRDefault="00BB6C1E" w:rsidP="00BB6C1E">
      <w:pPr>
        <w:pStyle w:val="ListParagraph"/>
        <w:numPr>
          <w:ilvl w:val="1"/>
          <w:numId w:val="3"/>
        </w:numPr>
        <w:rPr>
          <w:color w:val="000000" w:themeColor="text1"/>
          <w:lang w:eastAsia="en-GB"/>
        </w:rPr>
      </w:pPr>
      <w:r w:rsidRPr="00A46BD5">
        <w:rPr>
          <w:color w:val="000000" w:themeColor="text1"/>
          <w:lang w:eastAsia="en-GB"/>
        </w:rPr>
        <w:t>Council procurement has a pivotal role in delivering key aspects of the economic strategy and undertaking ‘procurement with a purpose’</w:t>
      </w:r>
      <w:r w:rsidR="0062653B">
        <w:rPr>
          <w:color w:val="000000" w:themeColor="text1"/>
          <w:lang w:eastAsia="en-GB"/>
        </w:rPr>
        <w:t xml:space="preserve">. </w:t>
      </w:r>
      <w:r w:rsidRPr="00A46BD5">
        <w:rPr>
          <w:color w:val="000000" w:themeColor="text1"/>
          <w:lang w:eastAsia="en-GB"/>
        </w:rPr>
        <w:t xml:space="preserve">Awarding contracts to local businesses creates the local economic strength that in turn creates employment opportunities, apprenticeships and supporting getting the young into careers.    </w:t>
      </w:r>
    </w:p>
    <w:p w14:paraId="3D445B81" w14:textId="77777777" w:rsidR="00BB6C1E" w:rsidRPr="00A46BD5" w:rsidRDefault="00BB6C1E" w:rsidP="00BB6C1E">
      <w:pPr>
        <w:pStyle w:val="ListParagraph"/>
        <w:ind w:left="543"/>
        <w:rPr>
          <w:color w:val="000000" w:themeColor="text1"/>
          <w:lang w:eastAsia="en-GB"/>
        </w:rPr>
      </w:pPr>
    </w:p>
    <w:p w14:paraId="027745B9" w14:textId="77777777" w:rsidR="00BB6C1E" w:rsidRPr="00A46BD5" w:rsidRDefault="00BB6C1E" w:rsidP="00BB6C1E">
      <w:pPr>
        <w:pStyle w:val="ListParagraph"/>
        <w:numPr>
          <w:ilvl w:val="1"/>
          <w:numId w:val="3"/>
        </w:numPr>
        <w:rPr>
          <w:color w:val="000000" w:themeColor="text1"/>
          <w:lang w:eastAsia="en-GB"/>
        </w:rPr>
      </w:pPr>
      <w:r w:rsidRPr="00A46BD5">
        <w:rPr>
          <w:color w:val="000000" w:themeColor="text1"/>
          <w:lang w:eastAsia="en-GB"/>
        </w:rPr>
        <w:t>The Council will continue to review and improve its procurement approach to support the development of local supply chains and stimulate local employment, and business growth.</w:t>
      </w:r>
    </w:p>
    <w:p w14:paraId="5D8C2B9F" w14:textId="77777777" w:rsidR="00DD472E" w:rsidRDefault="00DD472E" w:rsidP="00DD472E">
      <w:pPr>
        <w:pStyle w:val="ListParagraph"/>
        <w:ind w:left="543"/>
        <w:rPr>
          <w:lang w:eastAsia="en-GB"/>
        </w:rPr>
      </w:pPr>
    </w:p>
    <w:p w14:paraId="24DC5713" w14:textId="675064B2" w:rsidR="00D07655" w:rsidRDefault="00E73781" w:rsidP="00914805">
      <w:pPr>
        <w:pStyle w:val="ListParagraph"/>
        <w:numPr>
          <w:ilvl w:val="1"/>
          <w:numId w:val="3"/>
        </w:numPr>
        <w:rPr>
          <w:lang w:eastAsia="en-GB"/>
        </w:rPr>
      </w:pPr>
      <w:r>
        <w:rPr>
          <w:lang w:eastAsia="en-GB"/>
        </w:rPr>
        <w:t>The Council will also review and strengthen its procurement policies, driving sustainable activities</w:t>
      </w:r>
      <w:r w:rsidR="00474578">
        <w:rPr>
          <w:lang w:eastAsia="en-GB"/>
        </w:rPr>
        <w:t>, where</w:t>
      </w:r>
      <w:r w:rsidR="0006081F">
        <w:rPr>
          <w:lang w:eastAsia="en-GB"/>
        </w:rPr>
        <w:t xml:space="preserve"> </w:t>
      </w:r>
      <w:r w:rsidR="00474578">
        <w:rPr>
          <w:lang w:eastAsia="en-GB"/>
        </w:rPr>
        <w:t>po</w:t>
      </w:r>
      <w:r w:rsidR="0006081F">
        <w:rPr>
          <w:lang w:eastAsia="en-GB"/>
        </w:rPr>
        <w:t>s</w:t>
      </w:r>
      <w:r w:rsidR="00474578">
        <w:rPr>
          <w:lang w:eastAsia="en-GB"/>
        </w:rPr>
        <w:t>sible</w:t>
      </w:r>
      <w:r>
        <w:rPr>
          <w:lang w:eastAsia="en-GB"/>
        </w:rPr>
        <w:t xml:space="preserve"> prioritising local businesses in accessing second and third tier supplier opportunities and their wider networks.</w:t>
      </w:r>
    </w:p>
    <w:p w14:paraId="0887BB6E" w14:textId="639AC308" w:rsidR="00D07655" w:rsidRDefault="00D07655" w:rsidP="00914805">
      <w:pPr>
        <w:pStyle w:val="Heading3"/>
        <w:numPr>
          <w:ilvl w:val="0"/>
          <w:numId w:val="3"/>
        </w:numPr>
        <w:spacing w:before="480" w:after="240"/>
      </w:pPr>
      <w:r>
        <w:t>Legal Implications</w:t>
      </w:r>
    </w:p>
    <w:p w14:paraId="46C9EEA2" w14:textId="77777777" w:rsidR="00D07655" w:rsidRDefault="00D07655" w:rsidP="00A1211C">
      <w:pPr>
        <w:rPr>
          <w:lang w:eastAsia="en-GB"/>
        </w:rPr>
      </w:pPr>
    </w:p>
    <w:p w14:paraId="7562FD54" w14:textId="2117B5C2" w:rsidR="00283245" w:rsidRPr="00D30251" w:rsidRDefault="00F231F5" w:rsidP="00D30251">
      <w:pPr>
        <w:pStyle w:val="ListParagraph"/>
        <w:numPr>
          <w:ilvl w:val="1"/>
          <w:numId w:val="3"/>
        </w:numPr>
        <w:rPr>
          <w:szCs w:val="24"/>
        </w:rPr>
      </w:pPr>
      <w:r w:rsidRPr="00D30251">
        <w:rPr>
          <w:color w:val="000000" w:themeColor="text1"/>
        </w:rPr>
        <w:t xml:space="preserve">The </w:t>
      </w:r>
      <w:r w:rsidR="00283245" w:rsidRPr="00D30251">
        <w:rPr>
          <w:color w:val="000000" w:themeColor="text1"/>
        </w:rPr>
        <w:t>Council has</w:t>
      </w:r>
      <w:r w:rsidRPr="00D30251">
        <w:rPr>
          <w:color w:val="000000" w:themeColor="text1"/>
        </w:rPr>
        <w:t xml:space="preserve"> many statutory powers to </w:t>
      </w:r>
      <w:r w:rsidR="00283245" w:rsidRPr="00D30251">
        <w:rPr>
          <w:color w:val="000000" w:themeColor="text1"/>
        </w:rPr>
        <w:t>promote economic development in its area.</w:t>
      </w:r>
    </w:p>
    <w:p w14:paraId="5630640C" w14:textId="77777777" w:rsidR="00283245" w:rsidRDefault="00283245" w:rsidP="009A076F">
      <w:pPr>
        <w:ind w:left="543"/>
        <w:rPr>
          <w:color w:val="000000" w:themeColor="text1"/>
        </w:rPr>
      </w:pPr>
    </w:p>
    <w:p w14:paraId="46239BFC" w14:textId="4E1DC602" w:rsidR="005B10A0" w:rsidRDefault="001E1C61" w:rsidP="009A076F">
      <w:pPr>
        <w:ind w:left="543"/>
        <w:rPr>
          <w:color w:val="000000" w:themeColor="text1"/>
        </w:rPr>
      </w:pPr>
      <w:r w:rsidRPr="001E1C61">
        <w:rPr>
          <w:color w:val="000000" w:themeColor="text1"/>
        </w:rPr>
        <w:lastRenderedPageBreak/>
        <w:t>The General Power of Competence was introduced by the Localism Act 2011 and gives councils the power to do anything an individual can do provided it is not prohibited by other legislation</w:t>
      </w:r>
      <w:r w:rsidR="00E85A06">
        <w:rPr>
          <w:color w:val="000000" w:themeColor="text1"/>
        </w:rPr>
        <w:t>.</w:t>
      </w:r>
      <w:r w:rsidR="00AF4D50">
        <w:rPr>
          <w:color w:val="000000" w:themeColor="text1"/>
        </w:rPr>
        <w:t xml:space="preserve"> This includes taking action </w:t>
      </w:r>
      <w:r w:rsidR="00841DAC" w:rsidRPr="00841DAC">
        <w:rPr>
          <w:color w:val="000000" w:themeColor="text1"/>
        </w:rPr>
        <w:t xml:space="preserve">which they consider  likely to promote or improve the economic, social or environmental well-being of their </w:t>
      </w:r>
      <w:r w:rsidR="00566D81">
        <w:rPr>
          <w:color w:val="000000" w:themeColor="text1"/>
        </w:rPr>
        <w:t>area.</w:t>
      </w:r>
    </w:p>
    <w:p w14:paraId="56885453" w14:textId="77777777" w:rsidR="000E5C99" w:rsidRDefault="000E5C99" w:rsidP="001E1C61">
      <w:pPr>
        <w:ind w:left="543"/>
        <w:rPr>
          <w:color w:val="000000" w:themeColor="text1"/>
        </w:rPr>
      </w:pPr>
    </w:p>
    <w:p w14:paraId="057EB479" w14:textId="0D7897E7" w:rsidR="00485F59" w:rsidRDefault="000E5C99" w:rsidP="00971538">
      <w:pPr>
        <w:pStyle w:val="ListParagraph"/>
        <w:numPr>
          <w:ilvl w:val="1"/>
          <w:numId w:val="3"/>
        </w:numPr>
        <w:rPr>
          <w:color w:val="000000" w:themeColor="text1"/>
        </w:rPr>
      </w:pPr>
      <w:r w:rsidRPr="00971538">
        <w:rPr>
          <w:color w:val="000000" w:themeColor="text1"/>
        </w:rPr>
        <w:t>Section 12 of the Local Government Act 2003 provides a power for local authorities to invest for any purpose relevant to its functions under any enactment</w:t>
      </w:r>
      <w:r w:rsidR="009A076F" w:rsidRPr="00971538">
        <w:rPr>
          <w:color w:val="000000" w:themeColor="text1"/>
        </w:rPr>
        <w:t>.</w:t>
      </w:r>
    </w:p>
    <w:p w14:paraId="4D097A94" w14:textId="77777777" w:rsidR="00D30251" w:rsidRPr="00971538" w:rsidRDefault="00D30251" w:rsidP="00D30251">
      <w:pPr>
        <w:pStyle w:val="ListParagraph"/>
        <w:ind w:left="543"/>
        <w:rPr>
          <w:color w:val="000000" w:themeColor="text1"/>
        </w:rPr>
      </w:pPr>
    </w:p>
    <w:p w14:paraId="435CDF27" w14:textId="6E174D54" w:rsidR="00D34852" w:rsidRDefault="0064578E" w:rsidP="00971538">
      <w:pPr>
        <w:pStyle w:val="ListParagraph"/>
        <w:numPr>
          <w:ilvl w:val="1"/>
          <w:numId w:val="3"/>
        </w:numPr>
        <w:rPr>
          <w:color w:val="000000" w:themeColor="text1"/>
        </w:rPr>
      </w:pPr>
      <w:r>
        <w:rPr>
          <w:color w:val="000000" w:themeColor="text1"/>
        </w:rPr>
        <w:t xml:space="preserve">Under section 111 of The Local Government Act 1972, the Council has </w:t>
      </w:r>
      <w:r w:rsidR="00971538">
        <w:rPr>
          <w:color w:val="000000" w:themeColor="text1"/>
        </w:rPr>
        <w:t xml:space="preserve">the </w:t>
      </w:r>
      <w:r w:rsidRPr="0064578E">
        <w:rPr>
          <w:color w:val="000000" w:themeColor="text1"/>
        </w:rPr>
        <w:t>power to do anything (whether or not involving the expenditure, borrowing or lending of money or the acquisition or disposal of any property or rights) which is calculated to facilitate, or is conducive or incidental to, the discharge of any of their functions.</w:t>
      </w:r>
    </w:p>
    <w:p w14:paraId="3544C9CE" w14:textId="77777777" w:rsidR="007E4B46" w:rsidRPr="007E4B46" w:rsidRDefault="007E4B46" w:rsidP="007E4B46">
      <w:pPr>
        <w:pStyle w:val="ListParagraph"/>
        <w:rPr>
          <w:color w:val="000000" w:themeColor="text1"/>
        </w:rPr>
      </w:pPr>
    </w:p>
    <w:p w14:paraId="4962BCAB" w14:textId="77777777" w:rsidR="00DC49D1" w:rsidRPr="00DC49D1" w:rsidRDefault="00DC49D1" w:rsidP="00DC49D1">
      <w:pPr>
        <w:ind w:left="142"/>
        <w:rPr>
          <w:color w:val="000000" w:themeColor="text1"/>
        </w:rPr>
      </w:pPr>
    </w:p>
    <w:p w14:paraId="11F2AC04" w14:textId="517AC9DF" w:rsidR="00333FAA" w:rsidRDefault="00333FAA" w:rsidP="00914805">
      <w:pPr>
        <w:pStyle w:val="Heading3"/>
        <w:numPr>
          <w:ilvl w:val="0"/>
          <w:numId w:val="3"/>
        </w:numPr>
      </w:pPr>
      <w:r w:rsidRPr="005B10A0">
        <w:t>Financial Implications</w:t>
      </w:r>
    </w:p>
    <w:p w14:paraId="769872D8" w14:textId="77777777" w:rsidR="00DC49D1" w:rsidRDefault="00DC49D1" w:rsidP="00DC49D1"/>
    <w:p w14:paraId="437FD834" w14:textId="77777777" w:rsidR="007F3C11" w:rsidRDefault="007F3C11" w:rsidP="007F3C11">
      <w:pPr>
        <w:pStyle w:val="Default"/>
        <w:numPr>
          <w:ilvl w:val="1"/>
          <w:numId w:val="3"/>
        </w:numPr>
      </w:pPr>
      <w:r w:rsidRPr="0020192C">
        <w:t>The delivery</w:t>
      </w:r>
      <w:r>
        <w:t xml:space="preserve"> of the Economic Strategy</w:t>
      </w:r>
      <w:r w:rsidRPr="0020192C">
        <w:t xml:space="preserve"> will be through existing resource. Having an agreed strategy that aligns with regional and national policies is expected to help leverage external funding to support the delivery of the action plan. The Council will make use of existing resource to build capacity and work with third party partner organisations to maximise delivery outputs. </w:t>
      </w:r>
    </w:p>
    <w:p w14:paraId="1A961491" w14:textId="77777777" w:rsidR="007F3C11" w:rsidRDefault="007F3C11" w:rsidP="007F3C11">
      <w:pPr>
        <w:pStyle w:val="Default"/>
        <w:ind w:left="543"/>
      </w:pPr>
    </w:p>
    <w:p w14:paraId="0A9FB1B5" w14:textId="77777777" w:rsidR="007F3C11" w:rsidRDefault="007F3C11" w:rsidP="007F3C11">
      <w:pPr>
        <w:pStyle w:val="Default"/>
        <w:numPr>
          <w:ilvl w:val="1"/>
          <w:numId w:val="3"/>
        </w:numPr>
      </w:pPr>
      <w:r w:rsidRPr="00CE07EB">
        <w:t>A number of existing projects will make a positive contribution to delivering the strategy. These</w:t>
      </w:r>
      <w:r>
        <w:t xml:space="preserve"> are externally funded including the</w:t>
      </w:r>
      <w:r w:rsidRPr="00CE07EB">
        <w:t xml:space="preserve"> UK Shared Prosperity Fund (UKSPF) </w:t>
      </w:r>
      <w:r>
        <w:t xml:space="preserve">from the GLA and Future High Street Fund </w:t>
      </w:r>
      <w:r w:rsidRPr="00CE07EB">
        <w:t>funded from DLUHC. The Council will continue to bid for further external funding to support delivery of the strategy.</w:t>
      </w:r>
    </w:p>
    <w:p w14:paraId="02712FE5" w14:textId="77777777" w:rsidR="007E4B46" w:rsidRDefault="007E4B46" w:rsidP="007E4B46">
      <w:pPr>
        <w:pStyle w:val="ListParagraph"/>
      </w:pPr>
    </w:p>
    <w:p w14:paraId="1C060EA6" w14:textId="77777777" w:rsidR="00120CF2" w:rsidRPr="0020192C" w:rsidRDefault="00120CF2" w:rsidP="001F23A7">
      <w:pPr>
        <w:rPr>
          <w:szCs w:val="24"/>
        </w:rPr>
      </w:pPr>
    </w:p>
    <w:p w14:paraId="5C0D7162" w14:textId="57BE53DD" w:rsidR="00120CF2" w:rsidRDefault="00333FAA" w:rsidP="00914805">
      <w:pPr>
        <w:pStyle w:val="Heading3"/>
        <w:numPr>
          <w:ilvl w:val="0"/>
          <w:numId w:val="3"/>
        </w:numPr>
      </w:pPr>
      <w:r w:rsidRPr="00120CF2">
        <w:t>Equalities implications</w:t>
      </w:r>
      <w:r w:rsidR="001C7E35" w:rsidRPr="00120CF2">
        <w:t xml:space="preserve"> </w:t>
      </w:r>
      <w:r w:rsidRPr="00120CF2">
        <w:t>/</w:t>
      </w:r>
      <w:r w:rsidR="001C7E35" w:rsidRPr="00120CF2">
        <w:t xml:space="preserve"> </w:t>
      </w:r>
      <w:r w:rsidRPr="00120CF2">
        <w:t>Public Sector Equality Duty</w:t>
      </w:r>
    </w:p>
    <w:p w14:paraId="75F51F4A" w14:textId="77777777" w:rsidR="00120CF2" w:rsidRDefault="00120CF2" w:rsidP="00120CF2"/>
    <w:p w14:paraId="6DFA68DB" w14:textId="6E022AAE" w:rsidR="00F864BD" w:rsidRDefault="00FC171B" w:rsidP="00914805">
      <w:pPr>
        <w:pStyle w:val="ListParagraph"/>
        <w:numPr>
          <w:ilvl w:val="1"/>
          <w:numId w:val="3"/>
        </w:numPr>
      </w:pPr>
      <w:r>
        <w:t xml:space="preserve">The </w:t>
      </w:r>
      <w:r w:rsidR="00C35454">
        <w:t>Economic S</w:t>
      </w:r>
      <w:r>
        <w:t xml:space="preserve">trategy supports the corporate priorities which has </w:t>
      </w:r>
      <w:r w:rsidR="00F864BD">
        <w:t>a focus in Harrow being a place where those in need are supported.</w:t>
      </w:r>
      <w:r>
        <w:t xml:space="preserve"> </w:t>
      </w:r>
      <w:r w:rsidR="00F864BD">
        <w:t>It</w:t>
      </w:r>
      <w:r>
        <w:t xml:space="preserve"> </w:t>
      </w:r>
      <w:r w:rsidR="00F864BD">
        <w:t>highlights areas of</w:t>
      </w:r>
      <w:r>
        <w:t xml:space="preserve"> socio-economic inequality and disadvantage and will support delivery of our equality duties across the borough.</w:t>
      </w:r>
    </w:p>
    <w:p w14:paraId="16CB8FF0" w14:textId="77777777" w:rsidR="00F864BD" w:rsidRDefault="00F864BD" w:rsidP="00F864BD">
      <w:pPr>
        <w:pStyle w:val="ListParagraph"/>
        <w:ind w:left="543"/>
      </w:pPr>
    </w:p>
    <w:p w14:paraId="6FA6F2A9" w14:textId="77777777" w:rsidR="00C35454" w:rsidRDefault="00FC171B" w:rsidP="00914805">
      <w:pPr>
        <w:pStyle w:val="ListParagraph"/>
        <w:numPr>
          <w:ilvl w:val="1"/>
          <w:numId w:val="3"/>
        </w:numPr>
      </w:pPr>
      <w:r>
        <w:t>The performance management of locally delivered programmes will include equality and diversity monitoring. This will enable the measurement of participation and outcomes from our programmes</w:t>
      </w:r>
      <w:r w:rsidR="00C35454">
        <w:t>.</w:t>
      </w:r>
    </w:p>
    <w:p w14:paraId="72B82A0A" w14:textId="77777777" w:rsidR="00C35454" w:rsidRDefault="00C35454" w:rsidP="00C35454">
      <w:pPr>
        <w:pStyle w:val="ListParagraph"/>
      </w:pPr>
    </w:p>
    <w:p w14:paraId="3B38C4E1" w14:textId="229DFDEF" w:rsidR="00D86655" w:rsidRDefault="006411AB" w:rsidP="00914805">
      <w:pPr>
        <w:pStyle w:val="ListParagraph"/>
        <w:numPr>
          <w:ilvl w:val="1"/>
          <w:numId w:val="3"/>
        </w:numPr>
      </w:pPr>
      <w:r>
        <w:t>The Strategy</w:t>
      </w:r>
      <w:r w:rsidR="00FC171B">
        <w:t xml:space="preserve"> aims to create job opportunities, encourage entrepreneurial activity and business growth, diversify town centres – all of which will be universally beneficial for Harrow’s communities and residents.</w:t>
      </w:r>
    </w:p>
    <w:p w14:paraId="0BE5C4E8" w14:textId="77777777" w:rsidR="00D86655" w:rsidRDefault="00D86655" w:rsidP="00D86655">
      <w:pPr>
        <w:pStyle w:val="ListParagraph"/>
      </w:pPr>
    </w:p>
    <w:p w14:paraId="7B64E670" w14:textId="77777777" w:rsidR="006411AB" w:rsidRDefault="00FC171B" w:rsidP="00914805">
      <w:pPr>
        <w:pStyle w:val="ListParagraph"/>
        <w:numPr>
          <w:ilvl w:val="1"/>
          <w:numId w:val="3"/>
        </w:numPr>
      </w:pPr>
      <w:r>
        <w:lastRenderedPageBreak/>
        <w:t>The objectives set out in the Strategy will have a positive impact on residents with protected characteristics, including those facing multiple barriers into employment and those on low incomes.</w:t>
      </w:r>
    </w:p>
    <w:p w14:paraId="68E93F10" w14:textId="77777777" w:rsidR="006411AB" w:rsidRDefault="006411AB" w:rsidP="006411AB">
      <w:pPr>
        <w:pStyle w:val="ListParagraph"/>
      </w:pPr>
    </w:p>
    <w:p w14:paraId="07B86E6D" w14:textId="0167FBED" w:rsidR="00FC171B" w:rsidRDefault="006411AB" w:rsidP="00914805">
      <w:pPr>
        <w:pStyle w:val="ListParagraph"/>
        <w:numPr>
          <w:ilvl w:val="1"/>
          <w:numId w:val="3"/>
        </w:numPr>
      </w:pPr>
      <w:r>
        <w:t>A</w:t>
      </w:r>
      <w:r w:rsidR="00167C23">
        <w:t xml:space="preserve">n </w:t>
      </w:r>
      <w:r w:rsidR="00FC171B">
        <w:t>E</w:t>
      </w:r>
      <w:r>
        <w:t xml:space="preserve">qualities Impact Assessment is provided in </w:t>
      </w:r>
      <w:r w:rsidR="00FC171B">
        <w:t>Appendix 2</w:t>
      </w:r>
      <w:r>
        <w:t xml:space="preserve">. </w:t>
      </w:r>
    </w:p>
    <w:p w14:paraId="735D81F2" w14:textId="3BAAE077" w:rsidR="00377569" w:rsidRPr="00AF31F7" w:rsidRDefault="00377569" w:rsidP="00914805">
      <w:pPr>
        <w:pStyle w:val="Heading4"/>
        <w:numPr>
          <w:ilvl w:val="0"/>
          <w:numId w:val="3"/>
        </w:numPr>
        <w:spacing w:before="480"/>
        <w:rPr>
          <w:sz w:val="28"/>
          <w:szCs w:val="28"/>
        </w:rPr>
      </w:pPr>
      <w:r w:rsidRPr="00AF31F7">
        <w:rPr>
          <w:sz w:val="28"/>
          <w:szCs w:val="28"/>
        </w:rPr>
        <w:t>Council Priorities</w:t>
      </w:r>
    </w:p>
    <w:p w14:paraId="52A1E6F2" w14:textId="77777777" w:rsidR="00377569" w:rsidRPr="00CD57D8" w:rsidRDefault="00377569" w:rsidP="00377569">
      <w:pPr>
        <w:rPr>
          <w:rFonts w:cs="Arial"/>
          <w:szCs w:val="24"/>
          <w:lang w:val="en-US"/>
        </w:rPr>
      </w:pPr>
    </w:p>
    <w:p w14:paraId="2825AF0D" w14:textId="77777777" w:rsidR="00377569" w:rsidRDefault="00377569" w:rsidP="00914805">
      <w:pPr>
        <w:pStyle w:val="StyleListParagraphBold"/>
        <w:numPr>
          <w:ilvl w:val="0"/>
          <w:numId w:val="2"/>
        </w:numPr>
        <w:rPr>
          <w:lang w:eastAsia="en-US"/>
        </w:rPr>
      </w:pPr>
      <w:r w:rsidRPr="00752110">
        <w:t>A council that puts residents first</w:t>
      </w:r>
    </w:p>
    <w:p w14:paraId="7DCE6668" w14:textId="77777777" w:rsidR="00A2269D" w:rsidRDefault="00A2269D" w:rsidP="00A2269D">
      <w:pPr>
        <w:pStyle w:val="StyleListParagraphBold"/>
        <w:ind w:left="0"/>
      </w:pPr>
    </w:p>
    <w:p w14:paraId="6863EF57" w14:textId="28542812" w:rsidR="003F362C" w:rsidRPr="003F362C" w:rsidRDefault="00D83E40" w:rsidP="00914805">
      <w:pPr>
        <w:pStyle w:val="ListParagraph"/>
        <w:numPr>
          <w:ilvl w:val="0"/>
          <w:numId w:val="11"/>
        </w:numPr>
        <w:rPr>
          <w:szCs w:val="24"/>
        </w:rPr>
      </w:pPr>
      <w:r>
        <w:rPr>
          <w:szCs w:val="24"/>
        </w:rPr>
        <w:t xml:space="preserve">The strategy </w:t>
      </w:r>
      <w:r w:rsidR="00962ED8">
        <w:rPr>
          <w:szCs w:val="24"/>
        </w:rPr>
        <w:t>addresses the need to support</w:t>
      </w:r>
      <w:r w:rsidR="003F362C" w:rsidRPr="003F362C">
        <w:rPr>
          <w:szCs w:val="24"/>
        </w:rPr>
        <w:t xml:space="preserve"> residents to improve their social mobility by breaking down barriers to learning, training and employment. </w:t>
      </w:r>
      <w:r w:rsidR="003F362C">
        <w:rPr>
          <w:szCs w:val="24"/>
        </w:rPr>
        <w:t>The</w:t>
      </w:r>
      <w:r w:rsidR="003F362C" w:rsidRPr="003F362C">
        <w:rPr>
          <w:szCs w:val="24"/>
        </w:rPr>
        <w:t xml:space="preserve"> goal is to upskill residents for roles that are fit for the future and targeted towards our growth business and employment sectors.</w:t>
      </w:r>
    </w:p>
    <w:p w14:paraId="1B1E0292" w14:textId="77777777" w:rsidR="00467C30" w:rsidRPr="003F362C" w:rsidRDefault="00467C30" w:rsidP="003F362C">
      <w:pPr>
        <w:rPr>
          <w:rFonts w:cstheme="minorHAnsi"/>
          <w:szCs w:val="24"/>
        </w:rPr>
      </w:pPr>
    </w:p>
    <w:p w14:paraId="2385E67C" w14:textId="6EA39FCE" w:rsidR="00E06B14" w:rsidRPr="00E06B14" w:rsidRDefault="00467C30" w:rsidP="00914805">
      <w:pPr>
        <w:pStyle w:val="ListParagraph"/>
        <w:numPr>
          <w:ilvl w:val="0"/>
          <w:numId w:val="11"/>
        </w:numPr>
        <w:rPr>
          <w:rFonts w:cstheme="minorHAnsi"/>
          <w:szCs w:val="24"/>
        </w:rPr>
      </w:pPr>
      <w:r>
        <w:rPr>
          <w:rFonts w:cstheme="minorHAnsi"/>
          <w:szCs w:val="24"/>
        </w:rPr>
        <w:t>The focus on p</w:t>
      </w:r>
      <w:r w:rsidR="00E06B14" w:rsidRPr="00E06B14">
        <w:rPr>
          <w:rFonts w:cstheme="minorHAnsi"/>
          <w:szCs w:val="24"/>
        </w:rPr>
        <w:t xml:space="preserve">artnership working will minimise the negative impact that </w:t>
      </w:r>
      <w:r w:rsidR="00217D88">
        <w:rPr>
          <w:rFonts w:cstheme="minorHAnsi"/>
          <w:szCs w:val="24"/>
        </w:rPr>
        <w:t>the cost-of-living</w:t>
      </w:r>
      <w:r w:rsidR="00E06B14" w:rsidRPr="00E06B14">
        <w:rPr>
          <w:rFonts w:cstheme="minorHAnsi"/>
          <w:szCs w:val="24"/>
        </w:rPr>
        <w:t xml:space="preserve"> crisis could have on Harrow’s skills levels, employment rates and business survival.</w:t>
      </w:r>
    </w:p>
    <w:p w14:paraId="48B95718" w14:textId="77777777" w:rsidR="00377569" w:rsidRPr="00752110" w:rsidRDefault="00377569" w:rsidP="00217D88">
      <w:pPr>
        <w:pStyle w:val="StyleListParagraphBold"/>
        <w:ind w:left="0"/>
        <w:rPr>
          <w:lang w:eastAsia="en-US"/>
        </w:rPr>
      </w:pPr>
    </w:p>
    <w:p w14:paraId="094F179A" w14:textId="0E4B0BA3" w:rsidR="00377569" w:rsidRDefault="00377569" w:rsidP="00914805">
      <w:pPr>
        <w:pStyle w:val="StyleListParagraphBold"/>
        <w:numPr>
          <w:ilvl w:val="0"/>
          <w:numId w:val="2"/>
        </w:numPr>
      </w:pPr>
      <w:r w:rsidRPr="00752110">
        <w:t>A borough that is clean and safe</w:t>
      </w:r>
    </w:p>
    <w:p w14:paraId="1517E273" w14:textId="77777777" w:rsidR="006451B5" w:rsidRDefault="006451B5" w:rsidP="006451B5">
      <w:pPr>
        <w:pStyle w:val="StyleListParagraphBold"/>
        <w:ind w:left="0"/>
      </w:pPr>
    </w:p>
    <w:p w14:paraId="0D6551F1" w14:textId="77777777" w:rsidR="006451B5" w:rsidRPr="006451B5" w:rsidRDefault="006451B5" w:rsidP="006451B5">
      <w:pPr>
        <w:pStyle w:val="StyleListParagraphBold"/>
        <w:ind w:left="0"/>
        <w:rPr>
          <w:b w:val="0"/>
          <w:bCs w:val="0"/>
        </w:rPr>
      </w:pPr>
    </w:p>
    <w:p w14:paraId="6BC88633" w14:textId="20DD328D" w:rsidR="00467C30" w:rsidRDefault="00962ED8" w:rsidP="00914805">
      <w:pPr>
        <w:pStyle w:val="StyleListParagraphBold"/>
        <w:numPr>
          <w:ilvl w:val="0"/>
          <w:numId w:val="12"/>
        </w:numPr>
        <w:rPr>
          <w:b w:val="0"/>
          <w:bCs w:val="0"/>
        </w:rPr>
      </w:pPr>
      <w:r>
        <w:rPr>
          <w:b w:val="0"/>
          <w:bCs w:val="0"/>
        </w:rPr>
        <w:t>An</w:t>
      </w:r>
      <w:r w:rsidR="00D83E40" w:rsidRPr="006451B5">
        <w:rPr>
          <w:b w:val="0"/>
          <w:bCs w:val="0"/>
        </w:rPr>
        <w:t xml:space="preserve"> </w:t>
      </w:r>
      <w:r w:rsidR="00D83E40">
        <w:rPr>
          <w:b w:val="0"/>
          <w:bCs w:val="0"/>
        </w:rPr>
        <w:t>objective</w:t>
      </w:r>
      <w:r>
        <w:rPr>
          <w:b w:val="0"/>
          <w:bCs w:val="0"/>
        </w:rPr>
        <w:t xml:space="preserve"> for our high streets is to</w:t>
      </w:r>
      <w:r w:rsidR="00D83E40">
        <w:rPr>
          <w:b w:val="0"/>
          <w:bCs w:val="0"/>
        </w:rPr>
        <w:t xml:space="preserve"> </w:t>
      </w:r>
      <w:r>
        <w:rPr>
          <w:b w:val="0"/>
          <w:bCs w:val="0"/>
        </w:rPr>
        <w:t>c</w:t>
      </w:r>
      <w:r w:rsidR="00F94A19" w:rsidRPr="00F94A19">
        <w:rPr>
          <w:b w:val="0"/>
          <w:bCs w:val="0"/>
        </w:rPr>
        <w:t>reate a cleaner, safer and more sustainable district centres and high streets. We will encourage more sustainable shopping, install electric vehicle charging points and improve green infrastructure.</w:t>
      </w:r>
    </w:p>
    <w:p w14:paraId="4F7C01EA" w14:textId="77777777" w:rsidR="00F94A19" w:rsidRDefault="00F94A19" w:rsidP="00F94A19">
      <w:pPr>
        <w:pStyle w:val="StyleListParagraphBold"/>
        <w:rPr>
          <w:b w:val="0"/>
          <w:bCs w:val="0"/>
        </w:rPr>
      </w:pPr>
    </w:p>
    <w:p w14:paraId="7EF250BB" w14:textId="285883DA" w:rsidR="00F94A19" w:rsidRPr="00F94A19" w:rsidRDefault="00802C1B" w:rsidP="00914805">
      <w:pPr>
        <w:pStyle w:val="StyleListParagraphBold"/>
        <w:numPr>
          <w:ilvl w:val="0"/>
          <w:numId w:val="12"/>
        </w:numPr>
        <w:rPr>
          <w:b w:val="0"/>
          <w:bCs w:val="0"/>
        </w:rPr>
      </w:pPr>
      <w:r>
        <w:rPr>
          <w:b w:val="0"/>
          <w:bCs w:val="0"/>
        </w:rPr>
        <w:t>An</w:t>
      </w:r>
      <w:r w:rsidRPr="006451B5">
        <w:rPr>
          <w:b w:val="0"/>
          <w:bCs w:val="0"/>
        </w:rPr>
        <w:t xml:space="preserve"> </w:t>
      </w:r>
      <w:r>
        <w:rPr>
          <w:b w:val="0"/>
          <w:bCs w:val="0"/>
        </w:rPr>
        <w:t>objective for our high streets is to</w:t>
      </w:r>
      <w:r w:rsidR="008931E7" w:rsidRPr="008931E7">
        <w:rPr>
          <w:b w:val="0"/>
          <w:bCs w:val="0"/>
        </w:rPr>
        <w:t xml:space="preserve"> </w:t>
      </w:r>
      <w:r w:rsidR="007531AC">
        <w:rPr>
          <w:b w:val="0"/>
          <w:bCs w:val="0"/>
        </w:rPr>
        <w:t xml:space="preserve">make </w:t>
      </w:r>
      <w:r w:rsidR="008931E7" w:rsidRPr="008931E7">
        <w:rPr>
          <w:b w:val="0"/>
          <w:bCs w:val="0"/>
        </w:rPr>
        <w:t>public realm improvements in district centres and high streets creating a cleaner, safer and more sustainable environment.</w:t>
      </w:r>
    </w:p>
    <w:p w14:paraId="3A49274B" w14:textId="77777777" w:rsidR="00377569" w:rsidRPr="00752110" w:rsidRDefault="00377569" w:rsidP="00377569">
      <w:pPr>
        <w:pStyle w:val="StyleListParagraphBold"/>
        <w:ind w:left="0"/>
      </w:pPr>
    </w:p>
    <w:p w14:paraId="6E8C2A42" w14:textId="6D712439" w:rsidR="006451B5" w:rsidRDefault="00377569" w:rsidP="00914805">
      <w:pPr>
        <w:pStyle w:val="StyleListParagraphBold"/>
        <w:numPr>
          <w:ilvl w:val="0"/>
          <w:numId w:val="2"/>
        </w:numPr>
      </w:pPr>
      <w:r w:rsidRPr="00752110">
        <w:t>A place where those in need are supported</w:t>
      </w:r>
    </w:p>
    <w:p w14:paraId="71DA7126" w14:textId="77777777" w:rsidR="006451B5" w:rsidRDefault="006451B5" w:rsidP="006451B5">
      <w:pPr>
        <w:pStyle w:val="StyleListParagraphBold"/>
        <w:ind w:left="0"/>
      </w:pPr>
    </w:p>
    <w:p w14:paraId="1B571F9B" w14:textId="1DFC202B" w:rsidR="006451B5" w:rsidRDefault="006451B5" w:rsidP="00914805">
      <w:pPr>
        <w:pStyle w:val="ListParagraph"/>
        <w:numPr>
          <w:ilvl w:val="0"/>
          <w:numId w:val="11"/>
        </w:numPr>
        <w:rPr>
          <w:rFonts w:cstheme="minorHAnsi"/>
          <w:szCs w:val="24"/>
        </w:rPr>
      </w:pPr>
      <w:r>
        <w:rPr>
          <w:rFonts w:cstheme="minorHAnsi"/>
          <w:szCs w:val="24"/>
        </w:rPr>
        <w:t xml:space="preserve">The strategy </w:t>
      </w:r>
      <w:r w:rsidR="00802C1B">
        <w:rPr>
          <w:rFonts w:cstheme="minorHAnsi"/>
          <w:szCs w:val="24"/>
        </w:rPr>
        <w:t>highlights</w:t>
      </w:r>
      <w:r w:rsidR="00CE07EB">
        <w:rPr>
          <w:rFonts w:cstheme="minorHAnsi"/>
          <w:szCs w:val="24"/>
        </w:rPr>
        <w:t xml:space="preserve"> the</w:t>
      </w:r>
      <w:r w:rsidR="00802C1B">
        <w:rPr>
          <w:rFonts w:cstheme="minorHAnsi"/>
          <w:szCs w:val="24"/>
        </w:rPr>
        <w:t xml:space="preserve"> need</w:t>
      </w:r>
      <w:r>
        <w:rPr>
          <w:rFonts w:cstheme="minorHAnsi"/>
          <w:szCs w:val="24"/>
        </w:rPr>
        <w:t xml:space="preserve"> to</w:t>
      </w:r>
      <w:r w:rsidRPr="00E06B14">
        <w:rPr>
          <w:rFonts w:cstheme="minorHAnsi"/>
          <w:szCs w:val="24"/>
        </w:rPr>
        <w:t xml:space="preserve"> work in close partnership with our further education providers, the voluntary and community sector, businesses and statutory bodies to ensure that those in the most need are supported and do not fall through the cracks. </w:t>
      </w:r>
    </w:p>
    <w:p w14:paraId="33569720" w14:textId="77777777" w:rsidR="00F44376" w:rsidRDefault="00F44376" w:rsidP="00F44376">
      <w:pPr>
        <w:pStyle w:val="ListParagraph"/>
        <w:rPr>
          <w:rFonts w:cstheme="minorHAnsi"/>
          <w:szCs w:val="24"/>
        </w:rPr>
      </w:pPr>
    </w:p>
    <w:p w14:paraId="1C77A773" w14:textId="1E038AE1" w:rsidR="00F44376" w:rsidRPr="00F44376" w:rsidRDefault="00051F1F" w:rsidP="00914805">
      <w:pPr>
        <w:pStyle w:val="ListParagraph"/>
        <w:numPr>
          <w:ilvl w:val="0"/>
          <w:numId w:val="11"/>
        </w:numPr>
        <w:rPr>
          <w:rFonts w:cstheme="minorHAnsi"/>
          <w:szCs w:val="24"/>
        </w:rPr>
      </w:pPr>
      <w:r>
        <w:rPr>
          <w:rFonts w:cstheme="minorHAnsi"/>
          <w:szCs w:val="24"/>
        </w:rPr>
        <w:t>T</w:t>
      </w:r>
      <w:r w:rsidR="00F44376" w:rsidRPr="00F44376">
        <w:rPr>
          <w:rFonts w:cstheme="minorHAnsi"/>
          <w:szCs w:val="24"/>
        </w:rPr>
        <w:t xml:space="preserve">he </w:t>
      </w:r>
      <w:r w:rsidR="00F44376">
        <w:rPr>
          <w:rFonts w:cstheme="minorHAnsi"/>
          <w:szCs w:val="24"/>
        </w:rPr>
        <w:t xml:space="preserve">strategy </w:t>
      </w:r>
      <w:r>
        <w:rPr>
          <w:rFonts w:cstheme="minorHAnsi"/>
          <w:szCs w:val="24"/>
        </w:rPr>
        <w:t>reinforces th</w:t>
      </w:r>
      <w:r w:rsidR="00914805">
        <w:rPr>
          <w:rFonts w:cstheme="minorHAnsi"/>
          <w:szCs w:val="24"/>
        </w:rPr>
        <w:t>at the</w:t>
      </w:r>
      <w:r>
        <w:rPr>
          <w:rFonts w:cstheme="minorHAnsi"/>
          <w:szCs w:val="24"/>
        </w:rPr>
        <w:t xml:space="preserve"> </w:t>
      </w:r>
      <w:r w:rsidRPr="00F44376">
        <w:rPr>
          <w:rFonts w:cstheme="minorHAnsi"/>
          <w:szCs w:val="24"/>
        </w:rPr>
        <w:t>Council</w:t>
      </w:r>
      <w:r>
        <w:rPr>
          <w:rFonts w:cstheme="minorHAnsi"/>
          <w:szCs w:val="24"/>
        </w:rPr>
        <w:t>’s</w:t>
      </w:r>
      <w:r w:rsidR="00F44376" w:rsidRPr="00F44376">
        <w:rPr>
          <w:rFonts w:cstheme="minorHAnsi"/>
          <w:szCs w:val="24"/>
        </w:rPr>
        <w:t xml:space="preserve"> and its </w:t>
      </w:r>
      <w:r w:rsidRPr="00F44376">
        <w:rPr>
          <w:rFonts w:cstheme="minorHAnsi"/>
          <w:szCs w:val="24"/>
        </w:rPr>
        <w:t>partners</w:t>
      </w:r>
      <w:r w:rsidR="00F44376" w:rsidRPr="00F44376">
        <w:rPr>
          <w:rFonts w:cstheme="minorHAnsi"/>
          <w:szCs w:val="24"/>
        </w:rPr>
        <w:t xml:space="preserve"> are committed to</w:t>
      </w:r>
      <w:r w:rsidR="00F44376">
        <w:rPr>
          <w:rFonts w:cstheme="minorHAnsi"/>
          <w:szCs w:val="24"/>
        </w:rPr>
        <w:t xml:space="preserve"> </w:t>
      </w:r>
      <w:r w:rsidR="00F44376" w:rsidRPr="00F44376">
        <w:rPr>
          <w:rFonts w:cstheme="minorHAnsi"/>
          <w:szCs w:val="24"/>
        </w:rPr>
        <w:t>working closely with and supporting the voluntary community</w:t>
      </w:r>
      <w:r w:rsidR="00F44376">
        <w:rPr>
          <w:rFonts w:cstheme="minorHAnsi"/>
          <w:szCs w:val="24"/>
        </w:rPr>
        <w:t xml:space="preserve"> </w:t>
      </w:r>
      <w:r w:rsidR="00F44376" w:rsidRPr="00F44376">
        <w:rPr>
          <w:rFonts w:cstheme="minorHAnsi"/>
          <w:szCs w:val="24"/>
        </w:rPr>
        <w:t>sector to ensure that resources are directed to those that are</w:t>
      </w:r>
      <w:r w:rsidR="00F44376">
        <w:rPr>
          <w:rFonts w:cstheme="minorHAnsi"/>
          <w:szCs w:val="24"/>
        </w:rPr>
        <w:t xml:space="preserve"> </w:t>
      </w:r>
      <w:r w:rsidR="00F44376" w:rsidRPr="00F44376">
        <w:rPr>
          <w:rFonts w:cstheme="minorHAnsi"/>
          <w:szCs w:val="24"/>
        </w:rPr>
        <w:t>most in need.</w:t>
      </w:r>
    </w:p>
    <w:p w14:paraId="30F418E2" w14:textId="77777777" w:rsidR="006451B5" w:rsidRPr="00752110" w:rsidRDefault="006451B5" w:rsidP="006451B5">
      <w:pPr>
        <w:pStyle w:val="StyleListParagraphBold"/>
        <w:ind w:left="0"/>
      </w:pPr>
    </w:p>
    <w:p w14:paraId="5514D939" w14:textId="77777777" w:rsidR="00333FAA" w:rsidRDefault="00333FAA" w:rsidP="000B7C66">
      <w:pPr>
        <w:pStyle w:val="Heading2"/>
        <w:spacing w:before="480" w:after="240"/>
      </w:pPr>
      <w:r>
        <w:t>Section 3 - Statutory Officer Clearance</w:t>
      </w:r>
    </w:p>
    <w:p w14:paraId="3B5D52F9" w14:textId="030A680D" w:rsidR="00A66326" w:rsidRPr="00A66326" w:rsidRDefault="00A66326" w:rsidP="00A66326">
      <w:pPr>
        <w:rPr>
          <w:sz w:val="28"/>
        </w:rPr>
      </w:pPr>
      <w:r w:rsidRPr="00A66326">
        <w:rPr>
          <w:b/>
          <w:sz w:val="28"/>
        </w:rPr>
        <w:t xml:space="preserve">Statutory Officer:  </w:t>
      </w:r>
      <w:r w:rsidR="00F92CA0">
        <w:rPr>
          <w:b/>
          <w:sz w:val="28"/>
        </w:rPr>
        <w:t>Jessie Man</w:t>
      </w:r>
    </w:p>
    <w:p w14:paraId="06450070" w14:textId="17002551" w:rsidR="00A66326" w:rsidRPr="00A66326" w:rsidRDefault="00A66326" w:rsidP="00A66326">
      <w:r w:rsidRPr="00A66326">
        <w:t>Signed on behalf of the Chief Financial Officer</w:t>
      </w:r>
    </w:p>
    <w:p w14:paraId="555021EF" w14:textId="3A3CD68F" w:rsidR="00A66326" w:rsidRPr="007E4B46" w:rsidRDefault="00A66326" w:rsidP="00A66326">
      <w:pPr>
        <w:spacing w:after="480"/>
        <w:rPr>
          <w:color w:val="000000" w:themeColor="text1"/>
          <w:sz w:val="28"/>
          <w:szCs w:val="28"/>
        </w:rPr>
      </w:pPr>
      <w:r w:rsidRPr="007E4B46">
        <w:rPr>
          <w:b/>
          <w:color w:val="000000" w:themeColor="text1"/>
          <w:sz w:val="28"/>
          <w:szCs w:val="28"/>
        </w:rPr>
        <w:lastRenderedPageBreak/>
        <w:t xml:space="preserve">Date: </w:t>
      </w:r>
      <w:r w:rsidR="007E4B46" w:rsidRPr="007E4B46">
        <w:rPr>
          <w:b/>
          <w:color w:val="000000" w:themeColor="text1"/>
          <w:sz w:val="28"/>
          <w:szCs w:val="28"/>
        </w:rPr>
        <w:t>01/06/2023</w:t>
      </w:r>
    </w:p>
    <w:p w14:paraId="7E329E85" w14:textId="337D1248" w:rsidR="00A66326" w:rsidRPr="00A66326" w:rsidRDefault="00A66326" w:rsidP="00A66326">
      <w:pPr>
        <w:rPr>
          <w:sz w:val="28"/>
        </w:rPr>
      </w:pPr>
      <w:r w:rsidRPr="00A66326">
        <w:rPr>
          <w:b/>
          <w:sz w:val="28"/>
        </w:rPr>
        <w:t xml:space="preserve">Statutory Officer:  </w:t>
      </w:r>
      <w:r w:rsidR="00F92CA0">
        <w:rPr>
          <w:b/>
          <w:sz w:val="28"/>
        </w:rPr>
        <w:t>Stephen Dorrian</w:t>
      </w:r>
    </w:p>
    <w:p w14:paraId="76F84634" w14:textId="583FC6F8" w:rsidR="00A66326" w:rsidRPr="00A66326" w:rsidRDefault="00A66326" w:rsidP="00A66326">
      <w:r w:rsidRPr="00A66326">
        <w:t>Signed on behalf of</w:t>
      </w:r>
      <w:r w:rsidR="00C41CA4">
        <w:t xml:space="preserve"> </w:t>
      </w:r>
      <w:r w:rsidRPr="00A66326">
        <w:t>the Monitoring Officer</w:t>
      </w:r>
    </w:p>
    <w:p w14:paraId="1AC0D358" w14:textId="74D4FC33" w:rsidR="00A66326" w:rsidRPr="003313EA" w:rsidRDefault="00A66326" w:rsidP="00A66326">
      <w:pPr>
        <w:spacing w:after="480"/>
        <w:rPr>
          <w:sz w:val="28"/>
        </w:rPr>
      </w:pPr>
      <w:r w:rsidRPr="00A66326">
        <w:rPr>
          <w:b/>
          <w:sz w:val="28"/>
        </w:rPr>
        <w:t xml:space="preserve">Date:  </w:t>
      </w:r>
      <w:r w:rsidR="00912D1B">
        <w:rPr>
          <w:b/>
          <w:sz w:val="28"/>
        </w:rPr>
        <w:t>30/05/2023</w:t>
      </w:r>
    </w:p>
    <w:p w14:paraId="31D8FA55" w14:textId="6D8DDB23" w:rsidR="00BF5AFA" w:rsidRPr="00A66326" w:rsidRDefault="00BF5AFA" w:rsidP="00BF5AFA">
      <w:pPr>
        <w:rPr>
          <w:sz w:val="28"/>
        </w:rPr>
      </w:pPr>
      <w:r>
        <w:rPr>
          <w:b/>
          <w:sz w:val="28"/>
        </w:rPr>
        <w:t>Chief</w:t>
      </w:r>
      <w:r w:rsidRPr="00A66326">
        <w:rPr>
          <w:b/>
          <w:sz w:val="28"/>
        </w:rPr>
        <w:t xml:space="preserve"> Officer:  </w:t>
      </w:r>
      <w:r w:rsidR="00F92CA0">
        <w:rPr>
          <w:b/>
          <w:sz w:val="28"/>
        </w:rPr>
        <w:t>Dipti Patel</w:t>
      </w:r>
    </w:p>
    <w:p w14:paraId="6C086558" w14:textId="5CCA9C86" w:rsidR="00BF5AFA" w:rsidRPr="00A66326" w:rsidRDefault="00BF5AFA" w:rsidP="00BF5AFA">
      <w:r w:rsidRPr="00A66326">
        <w:t xml:space="preserve">Signed </w:t>
      </w:r>
      <w:r>
        <w:t>off by the Corporate Director</w:t>
      </w:r>
      <w:r w:rsidR="009A67D2">
        <w:t xml:space="preserve"> Place </w:t>
      </w:r>
    </w:p>
    <w:p w14:paraId="5F67CDF0" w14:textId="7BE4393F" w:rsidR="00BF5AFA" w:rsidRPr="00CF18D5" w:rsidRDefault="00BF5AFA" w:rsidP="00BF5AFA">
      <w:pPr>
        <w:spacing w:after="480"/>
        <w:rPr>
          <w:color w:val="000000" w:themeColor="text1"/>
          <w:sz w:val="28"/>
        </w:rPr>
      </w:pPr>
      <w:r w:rsidRPr="00CF18D5">
        <w:rPr>
          <w:b/>
          <w:color w:val="000000" w:themeColor="text1"/>
          <w:sz w:val="28"/>
        </w:rPr>
        <w:t xml:space="preserve">Date: </w:t>
      </w:r>
      <w:r w:rsidR="00CF18D5">
        <w:rPr>
          <w:b/>
          <w:color w:val="000000" w:themeColor="text1"/>
          <w:sz w:val="28"/>
        </w:rPr>
        <w:t>14/06/2023</w:t>
      </w:r>
    </w:p>
    <w:p w14:paraId="2C546334" w14:textId="6F023CB0" w:rsidR="00BF5AFA" w:rsidRPr="00A66326" w:rsidRDefault="00BF5AFA" w:rsidP="00BF5AFA">
      <w:pPr>
        <w:rPr>
          <w:sz w:val="28"/>
        </w:rPr>
      </w:pPr>
      <w:r>
        <w:rPr>
          <w:b/>
          <w:sz w:val="28"/>
        </w:rPr>
        <w:t>Head of Procurement</w:t>
      </w:r>
      <w:r w:rsidRPr="00A66326">
        <w:rPr>
          <w:b/>
          <w:sz w:val="28"/>
        </w:rPr>
        <w:t xml:space="preserve">:  </w:t>
      </w:r>
      <w:r w:rsidR="00F92CA0">
        <w:rPr>
          <w:b/>
          <w:sz w:val="28"/>
        </w:rPr>
        <w:t>Nimesh Mehta</w:t>
      </w:r>
    </w:p>
    <w:p w14:paraId="3C6E94C3" w14:textId="4C027234" w:rsidR="00BF5AFA" w:rsidRPr="00A66326" w:rsidRDefault="00BF5AFA" w:rsidP="00BF5AFA">
      <w:r w:rsidRPr="00A66326">
        <w:t xml:space="preserve">Signed by the </w:t>
      </w:r>
      <w:r>
        <w:t>Head of Procurement</w:t>
      </w:r>
    </w:p>
    <w:p w14:paraId="5A683B65" w14:textId="2704FCCE" w:rsidR="00BF5AFA" w:rsidRPr="003313EA" w:rsidRDefault="00BF5AFA" w:rsidP="00BF5AFA">
      <w:pPr>
        <w:spacing w:after="480"/>
        <w:rPr>
          <w:sz w:val="28"/>
        </w:rPr>
      </w:pPr>
      <w:r w:rsidRPr="00A66326">
        <w:rPr>
          <w:b/>
          <w:sz w:val="28"/>
        </w:rPr>
        <w:t xml:space="preserve">Date:  </w:t>
      </w:r>
      <w:r w:rsidR="00912D1B">
        <w:rPr>
          <w:b/>
          <w:sz w:val="28"/>
        </w:rPr>
        <w:t>31/05/2023</w:t>
      </w:r>
    </w:p>
    <w:p w14:paraId="113297A5" w14:textId="6F1F5157" w:rsidR="00BF5AFA" w:rsidRPr="00A66326" w:rsidRDefault="00BF5AFA" w:rsidP="00BF5AFA">
      <w:pPr>
        <w:rPr>
          <w:sz w:val="28"/>
        </w:rPr>
      </w:pPr>
      <w:r>
        <w:rPr>
          <w:b/>
          <w:sz w:val="28"/>
        </w:rPr>
        <w:t>Head of Internal Audit</w:t>
      </w:r>
      <w:r w:rsidRPr="00A66326">
        <w:rPr>
          <w:b/>
          <w:sz w:val="28"/>
        </w:rPr>
        <w:t xml:space="preserve">:  </w:t>
      </w:r>
      <w:r w:rsidR="00F92CA0">
        <w:rPr>
          <w:b/>
          <w:sz w:val="28"/>
        </w:rPr>
        <w:t>Neale Burns</w:t>
      </w:r>
    </w:p>
    <w:p w14:paraId="5CF04A24" w14:textId="1A9B6CF2" w:rsidR="00BF5AFA" w:rsidRPr="00A66326" w:rsidRDefault="00BF5AFA" w:rsidP="00BF5AFA">
      <w:r w:rsidRPr="00A66326">
        <w:t>Signed on behalf of</w:t>
      </w:r>
      <w:r w:rsidR="00D120CF">
        <w:t xml:space="preserve"> the Interim</w:t>
      </w:r>
      <w:r w:rsidRPr="00A66326">
        <w:t xml:space="preserve"> </w:t>
      </w:r>
      <w:r>
        <w:t>Head of Internal Audit</w:t>
      </w:r>
    </w:p>
    <w:p w14:paraId="04C352A5" w14:textId="1F806367" w:rsidR="00F42E1E" w:rsidRDefault="00BF5AFA" w:rsidP="00F92CA0">
      <w:pPr>
        <w:pStyle w:val="Heading2"/>
        <w:spacing w:after="240"/>
      </w:pPr>
      <w:r w:rsidRPr="00D120CF">
        <w:rPr>
          <w:rFonts w:ascii="Arial" w:hAnsi="Arial"/>
          <w:sz w:val="28"/>
        </w:rPr>
        <w:t>Date:</w:t>
      </w:r>
      <w:r w:rsidR="00EF4AC8">
        <w:rPr>
          <w:rFonts w:ascii="Arial" w:hAnsi="Arial"/>
          <w:sz w:val="28"/>
        </w:rPr>
        <w:t xml:space="preserve"> </w:t>
      </w:r>
      <w:r w:rsidR="00D120CF">
        <w:rPr>
          <w:rFonts w:ascii="Arial" w:hAnsi="Arial"/>
          <w:sz w:val="28"/>
        </w:rPr>
        <w:t>16/06/2023</w:t>
      </w:r>
    </w:p>
    <w:p w14:paraId="236185B6" w14:textId="484767AB" w:rsidR="00F42E1E" w:rsidRPr="00F42E1E" w:rsidRDefault="00F42E1E" w:rsidP="00F42E1E">
      <w:r w:rsidRPr="005A6BCB">
        <w:rPr>
          <w:b/>
          <w:bCs/>
          <w:sz w:val="28"/>
        </w:rPr>
        <w:t xml:space="preserve">Has the Portfolio Holder(s) been consulted?  Yes </w:t>
      </w:r>
      <w:sdt>
        <w:sdtPr>
          <w:rPr>
            <w:b/>
            <w:bCs/>
            <w:sz w:val="28"/>
          </w:rPr>
          <w:id w:val="-506674679"/>
          <w14:checkbox>
            <w14:checked w14:val="1"/>
            <w14:checkedState w14:val="2612" w14:font="MS Gothic"/>
            <w14:uncheckedState w14:val="2610" w14:font="MS Gothic"/>
          </w14:checkbox>
        </w:sdtPr>
        <w:sdtEndPr/>
        <w:sdtContent>
          <w:r w:rsidR="00912D1B">
            <w:rPr>
              <w:rFonts w:ascii="MS Gothic" w:eastAsia="MS Gothic" w:hAnsi="MS Gothic" w:hint="eastAsia"/>
              <w:b/>
              <w:bCs/>
              <w:sz w:val="28"/>
            </w:rPr>
            <w:t>☒</w:t>
          </w:r>
        </w:sdtContent>
      </w:sdt>
      <w:r w:rsidRPr="005A6BCB">
        <w:rPr>
          <w:b/>
          <w:bCs/>
          <w:sz w:val="28"/>
        </w:rPr>
        <w:t xml:space="preserve">     </w:t>
      </w:r>
    </w:p>
    <w:p w14:paraId="45A19EC7" w14:textId="59434FDF" w:rsidR="003313EA" w:rsidRPr="00435B5D" w:rsidRDefault="003313EA" w:rsidP="00BF5AFA">
      <w:pPr>
        <w:pStyle w:val="Heading2"/>
        <w:spacing w:before="480" w:after="240"/>
      </w:pPr>
      <w:r>
        <w:t>Mandatory Checks</w:t>
      </w:r>
    </w:p>
    <w:p w14:paraId="64551188" w14:textId="05C98D2B" w:rsidR="003313EA" w:rsidRPr="00A406F3" w:rsidRDefault="003313EA" w:rsidP="003313EA">
      <w:pPr>
        <w:pStyle w:val="Heading3"/>
        <w:ind w:left="0" w:firstLine="0"/>
        <w:jc w:val="left"/>
      </w:pPr>
      <w:r w:rsidRPr="003313EA">
        <w:t xml:space="preserve">Ward Councillors </w:t>
      </w:r>
      <w:r>
        <w:t xml:space="preserve">notified:  </w:t>
      </w:r>
      <w:r w:rsidRPr="00A406F3">
        <w:t>NO</w:t>
      </w:r>
      <w:r w:rsidR="007F32B2">
        <w:t>,</w:t>
      </w:r>
      <w:r w:rsidR="00C45EF1">
        <w:t xml:space="preserve"> </w:t>
      </w:r>
      <w:r w:rsidRPr="00333FAA">
        <w:t>as it impacts on all Wards</w:t>
      </w:r>
      <w:r w:rsidRPr="00A406F3">
        <w:t xml:space="preserve"> </w:t>
      </w:r>
    </w:p>
    <w:p w14:paraId="2A2D9472" w14:textId="480E9272" w:rsidR="003313EA" w:rsidRPr="00202D79" w:rsidRDefault="003313EA" w:rsidP="003313EA">
      <w:pPr>
        <w:pStyle w:val="Heading3"/>
        <w:spacing w:before="240"/>
        <w:rPr>
          <w:b w:val="0"/>
        </w:rPr>
      </w:pPr>
      <w:r w:rsidRPr="00202D79">
        <w:t>EqIA carried out:</w:t>
      </w:r>
      <w:r>
        <w:t xml:space="preserve"> </w:t>
      </w:r>
      <w:r w:rsidRPr="00202D79">
        <w:t>YES</w:t>
      </w:r>
    </w:p>
    <w:p w14:paraId="6B589F3A" w14:textId="78D97DA7" w:rsidR="003313EA" w:rsidRPr="00303FD6" w:rsidRDefault="003313EA" w:rsidP="00842757">
      <w:pPr>
        <w:pStyle w:val="Heading3"/>
        <w:spacing w:before="240"/>
        <w:jc w:val="left"/>
        <w:rPr>
          <w:color w:val="FF0000"/>
        </w:rPr>
      </w:pPr>
      <w:r w:rsidRPr="00202D79">
        <w:t>EqIA cleared by:</w:t>
      </w:r>
      <w:r>
        <w:t xml:space="preserve">  </w:t>
      </w:r>
      <w:r w:rsidR="002164BC">
        <w:rPr>
          <w:lang w:eastAsia="en-GB"/>
        </w:rPr>
        <w:t>Yasmeen Hussein</w:t>
      </w:r>
    </w:p>
    <w:p w14:paraId="41E16C55" w14:textId="77777777" w:rsidR="00333FAA" w:rsidRDefault="00333FAA" w:rsidP="00842757">
      <w:pPr>
        <w:pStyle w:val="Heading2"/>
        <w:spacing w:before="480" w:after="240"/>
      </w:pPr>
      <w:r>
        <w:t xml:space="preserve">Section </w:t>
      </w:r>
      <w:r w:rsidR="00A20113">
        <w:t>4</w:t>
      </w:r>
      <w:r>
        <w:t xml:space="preserve"> - Contact Details and Background Papers</w:t>
      </w:r>
    </w:p>
    <w:p w14:paraId="0005C0E4" w14:textId="266590E6" w:rsidR="00333FAA" w:rsidRPr="00755D24" w:rsidRDefault="00333FAA" w:rsidP="00CC18AC">
      <w:pPr>
        <w:pStyle w:val="Infotext"/>
        <w:spacing w:after="240"/>
        <w:rPr>
          <w:color w:val="000000" w:themeColor="text1"/>
        </w:rPr>
      </w:pPr>
      <w:r w:rsidRPr="004E47FC">
        <w:rPr>
          <w:b/>
        </w:rPr>
        <w:t xml:space="preserve">Contact:  </w:t>
      </w:r>
      <w:r w:rsidR="00C45EF1" w:rsidRPr="00755D24">
        <w:rPr>
          <w:color w:val="000000" w:themeColor="text1"/>
        </w:rPr>
        <w:t>Mavis Kusitor</w:t>
      </w:r>
      <w:r w:rsidR="005808FB" w:rsidRPr="00755D24">
        <w:rPr>
          <w:color w:val="000000" w:themeColor="text1"/>
        </w:rPr>
        <w:t xml:space="preserve">, </w:t>
      </w:r>
      <w:r w:rsidR="00C45EF1" w:rsidRPr="00755D24">
        <w:rPr>
          <w:color w:val="000000" w:themeColor="text1"/>
        </w:rPr>
        <w:t>Economic Strategy Programme Manager</w:t>
      </w:r>
      <w:r w:rsidR="00755D24" w:rsidRPr="00755D24">
        <w:rPr>
          <w:color w:val="000000" w:themeColor="text1"/>
        </w:rPr>
        <w:t>:</w:t>
      </w:r>
      <w:r w:rsidR="00755D24" w:rsidRPr="00755D24">
        <w:rPr>
          <w:color w:val="000000" w:themeColor="text1"/>
          <w:lang w:eastAsia="en-GB"/>
        </w:rPr>
        <w:t xml:space="preserve"> 07926 073 791</w:t>
      </w:r>
      <w:r w:rsidR="00755D24" w:rsidRPr="00755D24">
        <w:rPr>
          <w:color w:val="000000" w:themeColor="text1"/>
        </w:rPr>
        <w:t xml:space="preserve">, </w:t>
      </w:r>
      <w:hyperlink r:id="rId13" w:history="1">
        <w:r w:rsidR="00755D24" w:rsidRPr="00755D24">
          <w:rPr>
            <w:rStyle w:val="Hyperlink"/>
            <w:color w:val="000000" w:themeColor="text1"/>
          </w:rPr>
          <w:t>mavis.kusitor@harrow.gov.uk</w:t>
        </w:r>
      </w:hyperlink>
      <w:r w:rsidR="00755D24" w:rsidRPr="00755D24">
        <w:rPr>
          <w:color w:val="000000" w:themeColor="text1"/>
        </w:rPr>
        <w:t xml:space="preserve"> </w:t>
      </w:r>
    </w:p>
    <w:p w14:paraId="04182C86" w14:textId="4957F0BB" w:rsidR="00F36A48" w:rsidRDefault="00333FAA" w:rsidP="00CC18AC">
      <w:pPr>
        <w:pStyle w:val="Infotext"/>
        <w:spacing w:after="240"/>
        <w:rPr>
          <w:color w:val="FF0000"/>
        </w:rPr>
      </w:pPr>
      <w:r w:rsidRPr="004E47FC">
        <w:rPr>
          <w:b/>
        </w:rPr>
        <w:t xml:space="preserve">Background Papers: </w:t>
      </w:r>
      <w:r w:rsidR="005808FB">
        <w:rPr>
          <w:b/>
        </w:rPr>
        <w:t xml:space="preserve"> </w:t>
      </w:r>
      <w:r w:rsidR="00F92CA0">
        <w:rPr>
          <w:b/>
        </w:rPr>
        <w:t>None</w:t>
      </w:r>
    </w:p>
    <w:p w14:paraId="7C8FEB52" w14:textId="0E145D0B" w:rsidR="00842757" w:rsidRPr="007C0DC3" w:rsidRDefault="00842757" w:rsidP="00842757">
      <w:pPr>
        <w:pStyle w:val="Infotext"/>
        <w:spacing w:before="480"/>
        <w:rPr>
          <w:rFonts w:ascii="Arial Black" w:hAnsi="Arial Black"/>
        </w:rPr>
      </w:pPr>
      <w:r>
        <w:rPr>
          <w:rFonts w:ascii="Arial Black" w:hAnsi="Arial Black"/>
        </w:rPr>
        <w:t>Call-in w</w:t>
      </w:r>
      <w:r w:rsidRPr="007C0DC3">
        <w:rPr>
          <w:rFonts w:ascii="Arial Black" w:hAnsi="Arial Black"/>
        </w:rPr>
        <w:t>aived by the Chair of Overview and Scrutiny Committee</w:t>
      </w:r>
      <w:r w:rsidR="00F92CA0">
        <w:rPr>
          <w:rFonts w:ascii="Arial Black" w:hAnsi="Arial Black"/>
        </w:rPr>
        <w:t xml:space="preserve"> - NO</w:t>
      </w:r>
    </w:p>
    <w:sectPr w:rsidR="00842757" w:rsidRPr="007C0DC3" w:rsidSect="001614E0">
      <w:headerReference w:type="default" r:id="rId14"/>
      <w:headerReference w:type="first" r:id="rId15"/>
      <w:footerReference w:type="first" r:id="rId16"/>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3379D" w14:textId="77777777" w:rsidR="0031496B" w:rsidRDefault="0031496B">
      <w:r>
        <w:separator/>
      </w:r>
    </w:p>
  </w:endnote>
  <w:endnote w:type="continuationSeparator" w:id="0">
    <w:p w14:paraId="4980B24E" w14:textId="77777777" w:rsidR="0031496B" w:rsidRDefault="00314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A2D47" w14:textId="77777777" w:rsidR="00952CEF" w:rsidRPr="004F56C5" w:rsidRDefault="00952CEF" w:rsidP="004F5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3C0D8" w14:textId="77777777" w:rsidR="0031496B" w:rsidRDefault="0031496B">
      <w:r>
        <w:separator/>
      </w:r>
    </w:p>
  </w:footnote>
  <w:footnote w:type="continuationSeparator" w:id="0">
    <w:p w14:paraId="2FE67AFF" w14:textId="77777777" w:rsidR="0031496B" w:rsidRDefault="0031496B">
      <w:r>
        <w:continuationSeparator/>
      </w:r>
    </w:p>
  </w:footnote>
  <w:footnote w:id="1">
    <w:p w14:paraId="6A9939A0" w14:textId="77777777" w:rsidR="00454340" w:rsidRPr="00BF2C55" w:rsidRDefault="00454340" w:rsidP="00454340">
      <w:pPr>
        <w:pStyle w:val="FootnoteText"/>
        <w:rPr>
          <w:sz w:val="16"/>
          <w:szCs w:val="16"/>
        </w:rPr>
      </w:pPr>
      <w:r w:rsidRPr="00BF2C55">
        <w:rPr>
          <w:rStyle w:val="FootnoteReference"/>
          <w:sz w:val="16"/>
          <w:szCs w:val="16"/>
        </w:rPr>
        <w:footnoteRef/>
      </w:r>
      <w:r w:rsidRPr="00BF2C55">
        <w:rPr>
          <w:sz w:val="16"/>
          <w:szCs w:val="16"/>
        </w:rPr>
        <w:t xml:space="preserve"> Source: Census 2021</w:t>
      </w:r>
    </w:p>
  </w:footnote>
  <w:footnote w:id="2">
    <w:p w14:paraId="3D8E0B08" w14:textId="77777777" w:rsidR="00412ED5" w:rsidRPr="00BF2C55" w:rsidRDefault="00412ED5" w:rsidP="00412ED5">
      <w:pPr>
        <w:pStyle w:val="FootnoteText"/>
        <w:rPr>
          <w:rFonts w:asciiTheme="minorHAnsi" w:hAnsiTheme="minorHAnsi" w:cstheme="minorHAnsi"/>
          <w:sz w:val="16"/>
          <w:szCs w:val="16"/>
        </w:rPr>
      </w:pPr>
      <w:r w:rsidRPr="00BF2C55">
        <w:rPr>
          <w:rStyle w:val="FootnoteReference"/>
          <w:rFonts w:asciiTheme="minorHAnsi" w:hAnsiTheme="minorHAnsi" w:cstheme="minorHAnsi"/>
          <w:sz w:val="16"/>
          <w:szCs w:val="16"/>
        </w:rPr>
        <w:footnoteRef/>
      </w:r>
      <w:r w:rsidRPr="00BF2C55">
        <w:rPr>
          <w:rFonts w:asciiTheme="minorHAnsi" w:hAnsiTheme="minorHAnsi" w:cstheme="minorHAnsi"/>
          <w:sz w:val="16"/>
          <w:szCs w:val="16"/>
        </w:rPr>
        <w:t xml:space="preserve">  Source: </w:t>
      </w:r>
      <w:r w:rsidRPr="00BF2C55">
        <w:rPr>
          <w:rFonts w:cstheme="minorHAnsi"/>
          <w:color w:val="000000" w:themeColor="text1"/>
          <w:sz w:val="16"/>
          <w:szCs w:val="16"/>
        </w:rPr>
        <w:t>Census</w:t>
      </w:r>
      <w:r>
        <w:rPr>
          <w:rFonts w:cstheme="minorHAnsi"/>
          <w:color w:val="000000" w:themeColor="text1"/>
          <w:sz w:val="16"/>
          <w:szCs w:val="16"/>
        </w:rPr>
        <w:t xml:space="preserve"> 2021</w:t>
      </w:r>
    </w:p>
  </w:footnote>
  <w:footnote w:id="3">
    <w:p w14:paraId="0D49FD10" w14:textId="77777777" w:rsidR="00412ED5" w:rsidRPr="00BF2C55" w:rsidRDefault="00412ED5" w:rsidP="00412ED5">
      <w:pPr>
        <w:pStyle w:val="FootnoteText"/>
        <w:rPr>
          <w:rFonts w:asciiTheme="minorHAnsi" w:hAnsiTheme="minorHAnsi" w:cstheme="minorHAnsi"/>
          <w:sz w:val="16"/>
          <w:szCs w:val="16"/>
        </w:rPr>
      </w:pPr>
      <w:r w:rsidRPr="00BF2C55">
        <w:rPr>
          <w:rStyle w:val="FootnoteReference"/>
          <w:rFonts w:asciiTheme="minorHAnsi" w:hAnsiTheme="minorHAnsi" w:cstheme="minorHAnsi"/>
          <w:sz w:val="16"/>
          <w:szCs w:val="16"/>
        </w:rPr>
        <w:footnoteRef/>
      </w:r>
      <w:r w:rsidRPr="00BF2C55">
        <w:rPr>
          <w:rFonts w:asciiTheme="minorHAnsi" w:hAnsiTheme="minorHAnsi" w:cstheme="minorHAnsi"/>
          <w:sz w:val="16"/>
          <w:szCs w:val="16"/>
        </w:rPr>
        <w:t xml:space="preserve"> Source: </w:t>
      </w:r>
      <w:r w:rsidRPr="00BF2C55">
        <w:rPr>
          <w:rFonts w:asciiTheme="minorHAnsi" w:hAnsiTheme="minorHAnsi" w:cstheme="minorHAnsi"/>
          <w:color w:val="333333"/>
          <w:sz w:val="16"/>
          <w:szCs w:val="16"/>
          <w:shd w:val="clear" w:color="auto" w:fill="FFFFFF"/>
        </w:rPr>
        <w:t>ONS jobs density</w:t>
      </w:r>
    </w:p>
  </w:footnote>
  <w:footnote w:id="4">
    <w:p w14:paraId="6A7E0967" w14:textId="77777777" w:rsidR="00412ED5" w:rsidRPr="00BF2C55" w:rsidRDefault="00412ED5" w:rsidP="00412ED5">
      <w:pPr>
        <w:pStyle w:val="FootnoteText"/>
        <w:rPr>
          <w:rFonts w:asciiTheme="minorHAnsi" w:hAnsiTheme="minorHAnsi" w:cstheme="minorHAnsi"/>
          <w:sz w:val="16"/>
          <w:szCs w:val="16"/>
        </w:rPr>
      </w:pPr>
      <w:r w:rsidRPr="00BF2C55">
        <w:rPr>
          <w:rStyle w:val="FootnoteReference"/>
          <w:rFonts w:asciiTheme="minorHAnsi" w:hAnsiTheme="minorHAnsi" w:cstheme="minorHAnsi"/>
          <w:sz w:val="16"/>
          <w:szCs w:val="16"/>
        </w:rPr>
        <w:footnoteRef/>
      </w:r>
      <w:r w:rsidRPr="00BF2C55">
        <w:rPr>
          <w:rFonts w:asciiTheme="minorHAnsi" w:hAnsiTheme="minorHAnsi" w:cstheme="minorHAnsi"/>
          <w:sz w:val="16"/>
          <w:szCs w:val="16"/>
        </w:rPr>
        <w:t xml:space="preserve"> Source: ONS earnings by place of work: 2021</w:t>
      </w:r>
    </w:p>
  </w:footnote>
  <w:footnote w:id="5">
    <w:p w14:paraId="003BB646" w14:textId="77777777" w:rsidR="00412ED5" w:rsidRPr="00BF2C55" w:rsidRDefault="00412ED5" w:rsidP="00412ED5">
      <w:pPr>
        <w:pStyle w:val="FootnoteText"/>
        <w:rPr>
          <w:rFonts w:asciiTheme="minorHAnsi" w:hAnsiTheme="minorHAnsi" w:cstheme="minorHAnsi"/>
          <w:sz w:val="16"/>
          <w:szCs w:val="16"/>
        </w:rPr>
      </w:pPr>
      <w:r w:rsidRPr="00BF2C55">
        <w:rPr>
          <w:rStyle w:val="FootnoteReference"/>
          <w:rFonts w:asciiTheme="minorHAnsi" w:hAnsiTheme="minorHAnsi" w:cstheme="minorHAnsi"/>
          <w:sz w:val="16"/>
          <w:szCs w:val="16"/>
        </w:rPr>
        <w:footnoteRef/>
      </w:r>
      <w:r w:rsidRPr="00BF2C55">
        <w:rPr>
          <w:rFonts w:asciiTheme="minorHAnsi" w:hAnsiTheme="minorHAnsi" w:cstheme="minorHAnsi"/>
          <w:sz w:val="16"/>
          <w:szCs w:val="16"/>
        </w:rPr>
        <w:t xml:space="preserve"> Source: ONS </w:t>
      </w:r>
      <w:r>
        <w:rPr>
          <w:rFonts w:asciiTheme="minorHAnsi" w:hAnsiTheme="minorHAnsi" w:cstheme="minorHAnsi"/>
          <w:sz w:val="16"/>
          <w:szCs w:val="16"/>
        </w:rPr>
        <w:t>Inter-Departmental Business Register: September 2022</w:t>
      </w:r>
    </w:p>
  </w:footnote>
  <w:footnote w:id="6">
    <w:p w14:paraId="06538959" w14:textId="77777777" w:rsidR="00DA3209" w:rsidRPr="00BF2C55" w:rsidRDefault="00DA3209" w:rsidP="00DA3209">
      <w:pPr>
        <w:pStyle w:val="FootnoteText"/>
        <w:rPr>
          <w:sz w:val="16"/>
          <w:szCs w:val="16"/>
        </w:rPr>
      </w:pPr>
      <w:r w:rsidRPr="00BF2C55">
        <w:rPr>
          <w:rStyle w:val="FootnoteReference"/>
          <w:sz w:val="16"/>
          <w:szCs w:val="16"/>
        </w:rPr>
        <w:footnoteRef/>
      </w:r>
      <w:r w:rsidRPr="00BF2C55">
        <w:rPr>
          <w:sz w:val="16"/>
          <w:szCs w:val="16"/>
        </w:rPr>
        <w:t xml:space="preserve"> Source: Beauhurst Harrow businesses data</w:t>
      </w:r>
    </w:p>
  </w:footnote>
  <w:footnote w:id="7">
    <w:p w14:paraId="4DC8BDE0" w14:textId="77777777" w:rsidR="00DA3209" w:rsidRPr="00BF2C55" w:rsidRDefault="00DA3209" w:rsidP="00DA3209">
      <w:pPr>
        <w:pStyle w:val="FootnoteText"/>
        <w:ind w:left="142" w:hanging="142"/>
        <w:rPr>
          <w:sz w:val="16"/>
          <w:szCs w:val="16"/>
        </w:rPr>
      </w:pPr>
      <w:r w:rsidRPr="00BF2C55">
        <w:rPr>
          <w:rStyle w:val="FootnoteReference"/>
          <w:sz w:val="16"/>
          <w:szCs w:val="16"/>
        </w:rPr>
        <w:footnoteRef/>
      </w:r>
      <w:r w:rsidRPr="00BF2C55">
        <w:rPr>
          <w:sz w:val="16"/>
          <w:szCs w:val="16"/>
        </w:rPr>
        <w:t xml:space="preserve"> Source: Green Jobs and Skills in West London, A WPI Economics Report for and Institute for Employment Studies Report for West London Alliance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AC79B" w14:textId="77777777" w:rsidR="00952CEF" w:rsidRDefault="00952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49454" w14:textId="77777777" w:rsidR="00952CEF" w:rsidRDefault="00952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66A35"/>
    <w:multiLevelType w:val="hybridMultilevel"/>
    <w:tmpl w:val="78D63AE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 w15:restartNumberingAfterBreak="0">
    <w:nsid w:val="16FD10A5"/>
    <w:multiLevelType w:val="hybridMultilevel"/>
    <w:tmpl w:val="7C321224"/>
    <w:lvl w:ilvl="0" w:tplc="08090001">
      <w:start w:val="1"/>
      <w:numFmt w:val="bullet"/>
      <w:lvlText w:val=""/>
      <w:lvlJc w:val="left"/>
      <w:pPr>
        <w:ind w:left="1494" w:hanging="360"/>
      </w:pPr>
      <w:rPr>
        <w:rFonts w:ascii="Symbol" w:hAnsi="Symbol" w:hint="default"/>
      </w:rPr>
    </w:lvl>
    <w:lvl w:ilvl="1" w:tplc="FFFFFFFF" w:tentative="1">
      <w:start w:val="1"/>
      <w:numFmt w:val="bullet"/>
      <w:lvlText w:val="o"/>
      <w:lvlJc w:val="left"/>
      <w:pPr>
        <w:ind w:left="2214" w:hanging="360"/>
      </w:pPr>
      <w:rPr>
        <w:rFonts w:ascii="Courier New" w:hAnsi="Courier New" w:cs="Courier New" w:hint="default"/>
      </w:rPr>
    </w:lvl>
    <w:lvl w:ilvl="2" w:tplc="FFFFFFFF" w:tentative="1">
      <w:start w:val="1"/>
      <w:numFmt w:val="bullet"/>
      <w:lvlText w:val=""/>
      <w:lvlJc w:val="left"/>
      <w:pPr>
        <w:ind w:left="2934" w:hanging="360"/>
      </w:pPr>
      <w:rPr>
        <w:rFonts w:ascii="Wingdings" w:hAnsi="Wingdings" w:hint="default"/>
      </w:rPr>
    </w:lvl>
    <w:lvl w:ilvl="3" w:tplc="FFFFFFFF" w:tentative="1">
      <w:start w:val="1"/>
      <w:numFmt w:val="bullet"/>
      <w:lvlText w:val=""/>
      <w:lvlJc w:val="left"/>
      <w:pPr>
        <w:ind w:left="3654" w:hanging="360"/>
      </w:pPr>
      <w:rPr>
        <w:rFonts w:ascii="Symbol" w:hAnsi="Symbol" w:hint="default"/>
      </w:rPr>
    </w:lvl>
    <w:lvl w:ilvl="4" w:tplc="FFFFFFFF" w:tentative="1">
      <w:start w:val="1"/>
      <w:numFmt w:val="bullet"/>
      <w:lvlText w:val="o"/>
      <w:lvlJc w:val="left"/>
      <w:pPr>
        <w:ind w:left="4374" w:hanging="360"/>
      </w:pPr>
      <w:rPr>
        <w:rFonts w:ascii="Courier New" w:hAnsi="Courier New" w:cs="Courier New" w:hint="default"/>
      </w:rPr>
    </w:lvl>
    <w:lvl w:ilvl="5" w:tplc="FFFFFFFF" w:tentative="1">
      <w:start w:val="1"/>
      <w:numFmt w:val="bullet"/>
      <w:lvlText w:val=""/>
      <w:lvlJc w:val="left"/>
      <w:pPr>
        <w:ind w:left="5094" w:hanging="360"/>
      </w:pPr>
      <w:rPr>
        <w:rFonts w:ascii="Wingdings" w:hAnsi="Wingdings" w:hint="default"/>
      </w:rPr>
    </w:lvl>
    <w:lvl w:ilvl="6" w:tplc="FFFFFFFF" w:tentative="1">
      <w:start w:val="1"/>
      <w:numFmt w:val="bullet"/>
      <w:lvlText w:val=""/>
      <w:lvlJc w:val="left"/>
      <w:pPr>
        <w:ind w:left="5814" w:hanging="360"/>
      </w:pPr>
      <w:rPr>
        <w:rFonts w:ascii="Symbol" w:hAnsi="Symbol" w:hint="default"/>
      </w:rPr>
    </w:lvl>
    <w:lvl w:ilvl="7" w:tplc="FFFFFFFF" w:tentative="1">
      <w:start w:val="1"/>
      <w:numFmt w:val="bullet"/>
      <w:lvlText w:val="o"/>
      <w:lvlJc w:val="left"/>
      <w:pPr>
        <w:ind w:left="6534" w:hanging="360"/>
      </w:pPr>
      <w:rPr>
        <w:rFonts w:ascii="Courier New" w:hAnsi="Courier New" w:cs="Courier New" w:hint="default"/>
      </w:rPr>
    </w:lvl>
    <w:lvl w:ilvl="8" w:tplc="FFFFFFFF" w:tentative="1">
      <w:start w:val="1"/>
      <w:numFmt w:val="bullet"/>
      <w:lvlText w:val=""/>
      <w:lvlJc w:val="left"/>
      <w:pPr>
        <w:ind w:left="7254" w:hanging="360"/>
      </w:pPr>
      <w:rPr>
        <w:rFonts w:ascii="Wingdings" w:hAnsi="Wingdings" w:hint="default"/>
      </w:rPr>
    </w:lvl>
  </w:abstractNum>
  <w:abstractNum w:abstractNumId="2" w15:restartNumberingAfterBreak="0">
    <w:nsid w:val="1CF51AB8"/>
    <w:multiLevelType w:val="hybridMultilevel"/>
    <w:tmpl w:val="F1FA8D18"/>
    <w:lvl w:ilvl="0" w:tplc="4EB2817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CB13AC"/>
    <w:multiLevelType w:val="hybridMultilevel"/>
    <w:tmpl w:val="A2F8B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FC52E1"/>
    <w:multiLevelType w:val="hybridMultilevel"/>
    <w:tmpl w:val="8D2AF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A40A9B"/>
    <w:multiLevelType w:val="hybridMultilevel"/>
    <w:tmpl w:val="35B61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417EB2"/>
    <w:multiLevelType w:val="hybridMultilevel"/>
    <w:tmpl w:val="83E45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550810"/>
    <w:multiLevelType w:val="multilevel"/>
    <w:tmpl w:val="5D74B650"/>
    <w:lvl w:ilvl="0">
      <w:start w:val="1"/>
      <w:numFmt w:val="decimal"/>
      <w:lvlText w:val="%1."/>
      <w:lvlJc w:val="left"/>
      <w:pPr>
        <w:ind w:left="720" w:hanging="360"/>
      </w:pPr>
      <w:rPr>
        <w:rFonts w:hint="default"/>
      </w:rPr>
    </w:lvl>
    <w:lvl w:ilvl="1">
      <w:start w:val="1"/>
      <w:numFmt w:val="decimal"/>
      <w:isLgl/>
      <w:lvlText w:val="%1.%2"/>
      <w:lvlJc w:val="left"/>
      <w:pPr>
        <w:ind w:left="401" w:hanging="401"/>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8653A91"/>
    <w:multiLevelType w:val="hybridMultilevel"/>
    <w:tmpl w:val="38709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2C2930"/>
    <w:multiLevelType w:val="hybridMultilevel"/>
    <w:tmpl w:val="771E408C"/>
    <w:lvl w:ilvl="0" w:tplc="3E98B9D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45109BF"/>
    <w:multiLevelType w:val="multilevel"/>
    <w:tmpl w:val="08CE2DAE"/>
    <w:lvl w:ilvl="0">
      <w:numFmt w:val="bullet"/>
      <w:lvlText w:val=""/>
      <w:lvlJc w:val="left"/>
      <w:pPr>
        <w:ind w:left="36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671330B"/>
    <w:multiLevelType w:val="hybridMultilevel"/>
    <w:tmpl w:val="57664FE4"/>
    <w:lvl w:ilvl="0" w:tplc="2E02693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3A4371"/>
    <w:multiLevelType w:val="hybridMultilevel"/>
    <w:tmpl w:val="14623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5294997">
    <w:abstractNumId w:val="10"/>
  </w:num>
  <w:num w:numId="2" w16cid:durableId="1714309024">
    <w:abstractNumId w:val="9"/>
  </w:num>
  <w:num w:numId="3" w16cid:durableId="1956018865">
    <w:abstractNumId w:val="7"/>
  </w:num>
  <w:num w:numId="4" w16cid:durableId="218713916">
    <w:abstractNumId w:val="0"/>
  </w:num>
  <w:num w:numId="5" w16cid:durableId="1994791439">
    <w:abstractNumId w:val="6"/>
  </w:num>
  <w:num w:numId="6" w16cid:durableId="747994513">
    <w:abstractNumId w:val="11"/>
  </w:num>
  <w:num w:numId="7" w16cid:durableId="1928999089">
    <w:abstractNumId w:val="2"/>
  </w:num>
  <w:num w:numId="8" w16cid:durableId="1481116888">
    <w:abstractNumId w:val="4"/>
  </w:num>
  <w:num w:numId="9" w16cid:durableId="1729255894">
    <w:abstractNumId w:val="8"/>
  </w:num>
  <w:num w:numId="10" w16cid:durableId="1740445973">
    <w:abstractNumId w:val="12"/>
  </w:num>
  <w:num w:numId="11" w16cid:durableId="45373546">
    <w:abstractNumId w:val="3"/>
  </w:num>
  <w:num w:numId="12" w16cid:durableId="1613710868">
    <w:abstractNumId w:val="5"/>
  </w:num>
  <w:num w:numId="13" w16cid:durableId="941497290">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06AB5"/>
    <w:rsid w:val="00035A43"/>
    <w:rsid w:val="00037282"/>
    <w:rsid w:val="0004029A"/>
    <w:rsid w:val="000474E3"/>
    <w:rsid w:val="00051F1F"/>
    <w:rsid w:val="0006034E"/>
    <w:rsid w:val="0006081F"/>
    <w:rsid w:val="00063783"/>
    <w:rsid w:val="0006505E"/>
    <w:rsid w:val="00070639"/>
    <w:rsid w:val="00073765"/>
    <w:rsid w:val="000911D8"/>
    <w:rsid w:val="000929A6"/>
    <w:rsid w:val="00095FA1"/>
    <w:rsid w:val="000A31A3"/>
    <w:rsid w:val="000B122A"/>
    <w:rsid w:val="000B5015"/>
    <w:rsid w:val="000B6D6E"/>
    <w:rsid w:val="000B788F"/>
    <w:rsid w:val="000B7C66"/>
    <w:rsid w:val="000C0105"/>
    <w:rsid w:val="000D4E36"/>
    <w:rsid w:val="000D5594"/>
    <w:rsid w:val="000E3043"/>
    <w:rsid w:val="000E5C99"/>
    <w:rsid w:val="000E62FE"/>
    <w:rsid w:val="000F5258"/>
    <w:rsid w:val="001028DB"/>
    <w:rsid w:val="00105B8A"/>
    <w:rsid w:val="00114FB7"/>
    <w:rsid w:val="001161E4"/>
    <w:rsid w:val="00120CF2"/>
    <w:rsid w:val="00122879"/>
    <w:rsid w:val="00125A26"/>
    <w:rsid w:val="001472A8"/>
    <w:rsid w:val="0015376F"/>
    <w:rsid w:val="001614E0"/>
    <w:rsid w:val="00167C23"/>
    <w:rsid w:val="00171BD8"/>
    <w:rsid w:val="00173A3B"/>
    <w:rsid w:val="001759B9"/>
    <w:rsid w:val="0017653E"/>
    <w:rsid w:val="00182B01"/>
    <w:rsid w:val="00183D62"/>
    <w:rsid w:val="001840D2"/>
    <w:rsid w:val="001966D7"/>
    <w:rsid w:val="001A006E"/>
    <w:rsid w:val="001C0BAA"/>
    <w:rsid w:val="001C2EDA"/>
    <w:rsid w:val="001C4D2E"/>
    <w:rsid w:val="001C7E35"/>
    <w:rsid w:val="001D04C9"/>
    <w:rsid w:val="001D3ADD"/>
    <w:rsid w:val="001E1C61"/>
    <w:rsid w:val="001E3C06"/>
    <w:rsid w:val="001E6E6A"/>
    <w:rsid w:val="001F0037"/>
    <w:rsid w:val="001F0451"/>
    <w:rsid w:val="001F08A8"/>
    <w:rsid w:val="001F0BE9"/>
    <w:rsid w:val="001F23A7"/>
    <w:rsid w:val="0020192C"/>
    <w:rsid w:val="00202D79"/>
    <w:rsid w:val="00205D2F"/>
    <w:rsid w:val="00215E8F"/>
    <w:rsid w:val="002164BC"/>
    <w:rsid w:val="00217D88"/>
    <w:rsid w:val="00221A93"/>
    <w:rsid w:val="002322BB"/>
    <w:rsid w:val="00237590"/>
    <w:rsid w:val="00251254"/>
    <w:rsid w:val="00253FA7"/>
    <w:rsid w:val="002548D1"/>
    <w:rsid w:val="002657E2"/>
    <w:rsid w:val="0027283B"/>
    <w:rsid w:val="0028019B"/>
    <w:rsid w:val="00282E73"/>
    <w:rsid w:val="00283245"/>
    <w:rsid w:val="00283CAB"/>
    <w:rsid w:val="0028525A"/>
    <w:rsid w:val="00296704"/>
    <w:rsid w:val="002A3FEF"/>
    <w:rsid w:val="002B54A6"/>
    <w:rsid w:val="002F3EE9"/>
    <w:rsid w:val="002F64D7"/>
    <w:rsid w:val="00307F76"/>
    <w:rsid w:val="00312CB1"/>
    <w:rsid w:val="0031496B"/>
    <w:rsid w:val="00321FBB"/>
    <w:rsid w:val="00323EC6"/>
    <w:rsid w:val="00326359"/>
    <w:rsid w:val="00330832"/>
    <w:rsid w:val="003313EA"/>
    <w:rsid w:val="00333FAA"/>
    <w:rsid w:val="003355D7"/>
    <w:rsid w:val="0036201C"/>
    <w:rsid w:val="00372162"/>
    <w:rsid w:val="00376768"/>
    <w:rsid w:val="00377569"/>
    <w:rsid w:val="00380F87"/>
    <w:rsid w:val="0039225E"/>
    <w:rsid w:val="00397BD0"/>
    <w:rsid w:val="003A5AA6"/>
    <w:rsid w:val="003B167C"/>
    <w:rsid w:val="003B51F5"/>
    <w:rsid w:val="003B7E7D"/>
    <w:rsid w:val="003C270D"/>
    <w:rsid w:val="003E0C46"/>
    <w:rsid w:val="003F200F"/>
    <w:rsid w:val="003F362C"/>
    <w:rsid w:val="003F3AFD"/>
    <w:rsid w:val="004076C8"/>
    <w:rsid w:val="00412ED5"/>
    <w:rsid w:val="004207E3"/>
    <w:rsid w:val="00421A4C"/>
    <w:rsid w:val="004238C2"/>
    <w:rsid w:val="00425F2B"/>
    <w:rsid w:val="00435B5D"/>
    <w:rsid w:val="004363F7"/>
    <w:rsid w:val="004448F8"/>
    <w:rsid w:val="0044525C"/>
    <w:rsid w:val="00454340"/>
    <w:rsid w:val="004553F1"/>
    <w:rsid w:val="004664EE"/>
    <w:rsid w:val="00467C30"/>
    <w:rsid w:val="00471C1F"/>
    <w:rsid w:val="00474578"/>
    <w:rsid w:val="004809FA"/>
    <w:rsid w:val="00485F59"/>
    <w:rsid w:val="004A0F66"/>
    <w:rsid w:val="004C2D09"/>
    <w:rsid w:val="004C4A75"/>
    <w:rsid w:val="004D2895"/>
    <w:rsid w:val="004D2DA0"/>
    <w:rsid w:val="004D74F2"/>
    <w:rsid w:val="004E14A4"/>
    <w:rsid w:val="004F54BD"/>
    <w:rsid w:val="004F56C5"/>
    <w:rsid w:val="004F7F6F"/>
    <w:rsid w:val="00506185"/>
    <w:rsid w:val="00507AF4"/>
    <w:rsid w:val="00510A21"/>
    <w:rsid w:val="00513539"/>
    <w:rsid w:val="00515C85"/>
    <w:rsid w:val="00522012"/>
    <w:rsid w:val="005354D0"/>
    <w:rsid w:val="0054172C"/>
    <w:rsid w:val="0054590F"/>
    <w:rsid w:val="005459EC"/>
    <w:rsid w:val="00563EA4"/>
    <w:rsid w:val="00566D81"/>
    <w:rsid w:val="005718B5"/>
    <w:rsid w:val="00571C66"/>
    <w:rsid w:val="00571E56"/>
    <w:rsid w:val="005808FB"/>
    <w:rsid w:val="005811F8"/>
    <w:rsid w:val="00582605"/>
    <w:rsid w:val="00591016"/>
    <w:rsid w:val="005B10A0"/>
    <w:rsid w:val="005B26D9"/>
    <w:rsid w:val="005B3143"/>
    <w:rsid w:val="005B3F67"/>
    <w:rsid w:val="005B424E"/>
    <w:rsid w:val="005C2678"/>
    <w:rsid w:val="005C65D2"/>
    <w:rsid w:val="005D548F"/>
    <w:rsid w:val="005D6EF5"/>
    <w:rsid w:val="005E28CB"/>
    <w:rsid w:val="005E3A10"/>
    <w:rsid w:val="005E441D"/>
    <w:rsid w:val="005E7509"/>
    <w:rsid w:val="005E771D"/>
    <w:rsid w:val="00601D7F"/>
    <w:rsid w:val="00605A4C"/>
    <w:rsid w:val="0062653B"/>
    <w:rsid w:val="006313C1"/>
    <w:rsid w:val="00633187"/>
    <w:rsid w:val="006411AB"/>
    <w:rsid w:val="006451B5"/>
    <w:rsid w:val="0064578E"/>
    <w:rsid w:val="00645B8B"/>
    <w:rsid w:val="00655044"/>
    <w:rsid w:val="00666922"/>
    <w:rsid w:val="00670F17"/>
    <w:rsid w:val="006710C7"/>
    <w:rsid w:val="00681716"/>
    <w:rsid w:val="00696A83"/>
    <w:rsid w:val="006A40C2"/>
    <w:rsid w:val="006B619D"/>
    <w:rsid w:val="006C05F4"/>
    <w:rsid w:val="006C580A"/>
    <w:rsid w:val="006D1E69"/>
    <w:rsid w:val="006F057C"/>
    <w:rsid w:val="006F22DA"/>
    <w:rsid w:val="006F2EB3"/>
    <w:rsid w:val="006F778E"/>
    <w:rsid w:val="007049A9"/>
    <w:rsid w:val="00705A5F"/>
    <w:rsid w:val="007112D1"/>
    <w:rsid w:val="007116B1"/>
    <w:rsid w:val="00713316"/>
    <w:rsid w:val="00714BEE"/>
    <w:rsid w:val="00721215"/>
    <w:rsid w:val="0073131E"/>
    <w:rsid w:val="00735A34"/>
    <w:rsid w:val="007400CF"/>
    <w:rsid w:val="00745254"/>
    <w:rsid w:val="007531AC"/>
    <w:rsid w:val="00755D24"/>
    <w:rsid w:val="007600DD"/>
    <w:rsid w:val="00763364"/>
    <w:rsid w:val="00785DA8"/>
    <w:rsid w:val="007A2707"/>
    <w:rsid w:val="007B23FC"/>
    <w:rsid w:val="007D0C1D"/>
    <w:rsid w:val="007D2000"/>
    <w:rsid w:val="007D4DBF"/>
    <w:rsid w:val="007E4732"/>
    <w:rsid w:val="007E4B46"/>
    <w:rsid w:val="007E4BA4"/>
    <w:rsid w:val="007F004E"/>
    <w:rsid w:val="007F32B2"/>
    <w:rsid w:val="007F335A"/>
    <w:rsid w:val="007F3A07"/>
    <w:rsid w:val="007F3C11"/>
    <w:rsid w:val="00802C1B"/>
    <w:rsid w:val="00803104"/>
    <w:rsid w:val="008107A0"/>
    <w:rsid w:val="00811BAE"/>
    <w:rsid w:val="00812901"/>
    <w:rsid w:val="00820B22"/>
    <w:rsid w:val="008254B8"/>
    <w:rsid w:val="00826B9A"/>
    <w:rsid w:val="00832B50"/>
    <w:rsid w:val="008352EE"/>
    <w:rsid w:val="00840964"/>
    <w:rsid w:val="00841DAC"/>
    <w:rsid w:val="008420A4"/>
    <w:rsid w:val="00842757"/>
    <w:rsid w:val="00843CC2"/>
    <w:rsid w:val="0085266D"/>
    <w:rsid w:val="00854337"/>
    <w:rsid w:val="00857265"/>
    <w:rsid w:val="008931E7"/>
    <w:rsid w:val="008A5AA0"/>
    <w:rsid w:val="008A5AB1"/>
    <w:rsid w:val="008C4343"/>
    <w:rsid w:val="008E224D"/>
    <w:rsid w:val="008E5170"/>
    <w:rsid w:val="008F43CB"/>
    <w:rsid w:val="008F5781"/>
    <w:rsid w:val="008F629A"/>
    <w:rsid w:val="00906667"/>
    <w:rsid w:val="00912D1B"/>
    <w:rsid w:val="00914805"/>
    <w:rsid w:val="0092530B"/>
    <w:rsid w:val="009341A6"/>
    <w:rsid w:val="0094208C"/>
    <w:rsid w:val="00942F17"/>
    <w:rsid w:val="00943236"/>
    <w:rsid w:val="00952CEF"/>
    <w:rsid w:val="00955421"/>
    <w:rsid w:val="009565E8"/>
    <w:rsid w:val="00962ED8"/>
    <w:rsid w:val="00971538"/>
    <w:rsid w:val="00990E9C"/>
    <w:rsid w:val="009923D6"/>
    <w:rsid w:val="00994542"/>
    <w:rsid w:val="00994908"/>
    <w:rsid w:val="009A076F"/>
    <w:rsid w:val="009A67D2"/>
    <w:rsid w:val="009B160B"/>
    <w:rsid w:val="009B6159"/>
    <w:rsid w:val="009B7526"/>
    <w:rsid w:val="009C237B"/>
    <w:rsid w:val="009C4DD1"/>
    <w:rsid w:val="009D3100"/>
    <w:rsid w:val="009D5CF4"/>
    <w:rsid w:val="009E5A93"/>
    <w:rsid w:val="009F3154"/>
    <w:rsid w:val="00A0407D"/>
    <w:rsid w:val="00A066C1"/>
    <w:rsid w:val="00A10880"/>
    <w:rsid w:val="00A1211C"/>
    <w:rsid w:val="00A20113"/>
    <w:rsid w:val="00A20D78"/>
    <w:rsid w:val="00A2215F"/>
    <w:rsid w:val="00A2269D"/>
    <w:rsid w:val="00A22839"/>
    <w:rsid w:val="00A23E19"/>
    <w:rsid w:val="00A249CA"/>
    <w:rsid w:val="00A252D1"/>
    <w:rsid w:val="00A33185"/>
    <w:rsid w:val="00A46BD5"/>
    <w:rsid w:val="00A46CE8"/>
    <w:rsid w:val="00A53B04"/>
    <w:rsid w:val="00A572E7"/>
    <w:rsid w:val="00A661F4"/>
    <w:rsid w:val="00A66326"/>
    <w:rsid w:val="00A72183"/>
    <w:rsid w:val="00A7271A"/>
    <w:rsid w:val="00A74D79"/>
    <w:rsid w:val="00A81E19"/>
    <w:rsid w:val="00A83583"/>
    <w:rsid w:val="00A9723B"/>
    <w:rsid w:val="00AB2A96"/>
    <w:rsid w:val="00AB795F"/>
    <w:rsid w:val="00AC4B1A"/>
    <w:rsid w:val="00AC6312"/>
    <w:rsid w:val="00AD1E77"/>
    <w:rsid w:val="00AD3B6A"/>
    <w:rsid w:val="00AD6D80"/>
    <w:rsid w:val="00AF199B"/>
    <w:rsid w:val="00AF31F7"/>
    <w:rsid w:val="00AF4D50"/>
    <w:rsid w:val="00AF4FD0"/>
    <w:rsid w:val="00AF6D5A"/>
    <w:rsid w:val="00B008A4"/>
    <w:rsid w:val="00B1160D"/>
    <w:rsid w:val="00B139FB"/>
    <w:rsid w:val="00B41C47"/>
    <w:rsid w:val="00B444E6"/>
    <w:rsid w:val="00B52011"/>
    <w:rsid w:val="00B53EFF"/>
    <w:rsid w:val="00B54AFA"/>
    <w:rsid w:val="00B6207C"/>
    <w:rsid w:val="00B671A4"/>
    <w:rsid w:val="00B804E8"/>
    <w:rsid w:val="00BB19B2"/>
    <w:rsid w:val="00BB6C1E"/>
    <w:rsid w:val="00BC206C"/>
    <w:rsid w:val="00BC431A"/>
    <w:rsid w:val="00BC6FB5"/>
    <w:rsid w:val="00BD1396"/>
    <w:rsid w:val="00BD7BCF"/>
    <w:rsid w:val="00BF5AFA"/>
    <w:rsid w:val="00C006B2"/>
    <w:rsid w:val="00C01A35"/>
    <w:rsid w:val="00C03772"/>
    <w:rsid w:val="00C04EDA"/>
    <w:rsid w:val="00C119A2"/>
    <w:rsid w:val="00C2379B"/>
    <w:rsid w:val="00C26C58"/>
    <w:rsid w:val="00C352E9"/>
    <w:rsid w:val="00C35454"/>
    <w:rsid w:val="00C41CA4"/>
    <w:rsid w:val="00C4281D"/>
    <w:rsid w:val="00C459F1"/>
    <w:rsid w:val="00C45EF1"/>
    <w:rsid w:val="00C53F1A"/>
    <w:rsid w:val="00C57267"/>
    <w:rsid w:val="00C616FF"/>
    <w:rsid w:val="00C62B63"/>
    <w:rsid w:val="00C675A0"/>
    <w:rsid w:val="00C72B5B"/>
    <w:rsid w:val="00C869F3"/>
    <w:rsid w:val="00C87FED"/>
    <w:rsid w:val="00C903CA"/>
    <w:rsid w:val="00C91AC3"/>
    <w:rsid w:val="00C96756"/>
    <w:rsid w:val="00CB32FC"/>
    <w:rsid w:val="00CC031F"/>
    <w:rsid w:val="00CC18AC"/>
    <w:rsid w:val="00CC3B56"/>
    <w:rsid w:val="00CD7D5D"/>
    <w:rsid w:val="00CE07EB"/>
    <w:rsid w:val="00CF0621"/>
    <w:rsid w:val="00CF0FC4"/>
    <w:rsid w:val="00CF18D5"/>
    <w:rsid w:val="00CF6932"/>
    <w:rsid w:val="00D0152F"/>
    <w:rsid w:val="00D01FE3"/>
    <w:rsid w:val="00D0381E"/>
    <w:rsid w:val="00D06CA3"/>
    <w:rsid w:val="00D07655"/>
    <w:rsid w:val="00D07A96"/>
    <w:rsid w:val="00D07F46"/>
    <w:rsid w:val="00D120CF"/>
    <w:rsid w:val="00D170E5"/>
    <w:rsid w:val="00D30251"/>
    <w:rsid w:val="00D33D61"/>
    <w:rsid w:val="00D34852"/>
    <w:rsid w:val="00D37F2F"/>
    <w:rsid w:val="00D415B9"/>
    <w:rsid w:val="00D50C4A"/>
    <w:rsid w:val="00D528E8"/>
    <w:rsid w:val="00D739A5"/>
    <w:rsid w:val="00D771D0"/>
    <w:rsid w:val="00D835CF"/>
    <w:rsid w:val="00D83E40"/>
    <w:rsid w:val="00D86655"/>
    <w:rsid w:val="00D90671"/>
    <w:rsid w:val="00DA176F"/>
    <w:rsid w:val="00DA26FB"/>
    <w:rsid w:val="00DA3209"/>
    <w:rsid w:val="00DA36BE"/>
    <w:rsid w:val="00DA4D09"/>
    <w:rsid w:val="00DA5F4A"/>
    <w:rsid w:val="00DA7176"/>
    <w:rsid w:val="00DB6C3D"/>
    <w:rsid w:val="00DB7A12"/>
    <w:rsid w:val="00DC49D1"/>
    <w:rsid w:val="00DC5ACF"/>
    <w:rsid w:val="00DC698B"/>
    <w:rsid w:val="00DD3573"/>
    <w:rsid w:val="00DD472E"/>
    <w:rsid w:val="00DD7468"/>
    <w:rsid w:val="00DE25E9"/>
    <w:rsid w:val="00DE71D3"/>
    <w:rsid w:val="00DE72CF"/>
    <w:rsid w:val="00DE7493"/>
    <w:rsid w:val="00DF08A0"/>
    <w:rsid w:val="00E04057"/>
    <w:rsid w:val="00E06B14"/>
    <w:rsid w:val="00E13BEF"/>
    <w:rsid w:val="00E442A1"/>
    <w:rsid w:val="00E53751"/>
    <w:rsid w:val="00E70760"/>
    <w:rsid w:val="00E73781"/>
    <w:rsid w:val="00E7682D"/>
    <w:rsid w:val="00E836B1"/>
    <w:rsid w:val="00E85A06"/>
    <w:rsid w:val="00E914F9"/>
    <w:rsid w:val="00E918CF"/>
    <w:rsid w:val="00E9253C"/>
    <w:rsid w:val="00EA5118"/>
    <w:rsid w:val="00EB3CF0"/>
    <w:rsid w:val="00EB45B5"/>
    <w:rsid w:val="00EB5E57"/>
    <w:rsid w:val="00EB61DB"/>
    <w:rsid w:val="00EC3026"/>
    <w:rsid w:val="00ED1AD0"/>
    <w:rsid w:val="00ED4AFD"/>
    <w:rsid w:val="00ED6776"/>
    <w:rsid w:val="00EE43FA"/>
    <w:rsid w:val="00EE4FBE"/>
    <w:rsid w:val="00EF4AC8"/>
    <w:rsid w:val="00F018D8"/>
    <w:rsid w:val="00F038A1"/>
    <w:rsid w:val="00F06E4E"/>
    <w:rsid w:val="00F1389E"/>
    <w:rsid w:val="00F231F5"/>
    <w:rsid w:val="00F238E0"/>
    <w:rsid w:val="00F35F4E"/>
    <w:rsid w:val="00F36A48"/>
    <w:rsid w:val="00F42E1E"/>
    <w:rsid w:val="00F44376"/>
    <w:rsid w:val="00F51E01"/>
    <w:rsid w:val="00F540FA"/>
    <w:rsid w:val="00F5649A"/>
    <w:rsid w:val="00F64461"/>
    <w:rsid w:val="00F67DC5"/>
    <w:rsid w:val="00F82279"/>
    <w:rsid w:val="00F82342"/>
    <w:rsid w:val="00F864BD"/>
    <w:rsid w:val="00F877DB"/>
    <w:rsid w:val="00F91AE4"/>
    <w:rsid w:val="00F92CA0"/>
    <w:rsid w:val="00F93C8B"/>
    <w:rsid w:val="00F94A19"/>
    <w:rsid w:val="00F959DD"/>
    <w:rsid w:val="00F960D5"/>
    <w:rsid w:val="00F9690B"/>
    <w:rsid w:val="00FA1229"/>
    <w:rsid w:val="00FA1F06"/>
    <w:rsid w:val="00FA528E"/>
    <w:rsid w:val="00FB1231"/>
    <w:rsid w:val="00FC171B"/>
    <w:rsid w:val="00FC1C5C"/>
    <w:rsid w:val="00FD1E4B"/>
    <w:rsid w:val="00FE17E2"/>
    <w:rsid w:val="00FE2506"/>
    <w:rsid w:val="00FF6E4B"/>
    <w:rsid w:val="17F41994"/>
    <w:rsid w:val="224DF7B4"/>
    <w:rsid w:val="23B6646C"/>
    <w:rsid w:val="2697ADCA"/>
    <w:rsid w:val="2896C77B"/>
    <w:rsid w:val="2A3297DC"/>
    <w:rsid w:val="2D363C95"/>
    <w:rsid w:val="32959AF1"/>
    <w:rsid w:val="353475EB"/>
    <w:rsid w:val="4800DDEE"/>
    <w:rsid w:val="49CFD7D8"/>
    <w:rsid w:val="55DAD3D7"/>
    <w:rsid w:val="576EF44A"/>
    <w:rsid w:val="5908CE47"/>
    <w:rsid w:val="630BC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E8B24B"/>
  <w15:docId w15:val="{284D6209-673C-4A1B-A513-6F869D50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link w:val="FootnoteTextChar"/>
    <w:uiPriority w:val="99"/>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uiPriority w:val="99"/>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styleId="UnresolvedMention">
    <w:name w:val="Unresolved Mention"/>
    <w:basedOn w:val="DefaultParagraphFont"/>
    <w:uiPriority w:val="99"/>
    <w:semiHidden/>
    <w:unhideWhenUsed/>
    <w:rsid w:val="00F238E0"/>
    <w:rPr>
      <w:color w:val="605E5C"/>
      <w:shd w:val="clear" w:color="auto" w:fill="E1DFDD"/>
    </w:rPr>
  </w:style>
  <w:style w:type="paragraph" w:customStyle="1" w:styleId="paragraph">
    <w:name w:val="paragraph"/>
    <w:basedOn w:val="Normal"/>
    <w:rsid w:val="00330832"/>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330832"/>
  </w:style>
  <w:style w:type="character" w:customStyle="1" w:styleId="eop">
    <w:name w:val="eop"/>
    <w:basedOn w:val="DefaultParagraphFont"/>
    <w:rsid w:val="00330832"/>
  </w:style>
  <w:style w:type="paragraph" w:customStyle="1" w:styleId="StyleListParagraphBold">
    <w:name w:val="Style List Paragraph + Bold"/>
    <w:basedOn w:val="ListParagraph"/>
    <w:rsid w:val="00377569"/>
    <w:rPr>
      <w:rFonts w:eastAsia="Calibri" w:cs="Arial"/>
      <w:b/>
      <w:bCs/>
      <w:color w:val="000000"/>
      <w:szCs w:val="22"/>
      <w:lang w:eastAsia="en-GB"/>
    </w:rPr>
  </w:style>
  <w:style w:type="paragraph" w:customStyle="1" w:styleId="Default">
    <w:name w:val="Default"/>
    <w:rsid w:val="001C2EDA"/>
    <w:pPr>
      <w:autoSpaceDE w:val="0"/>
      <w:autoSpaceDN w:val="0"/>
      <w:adjustRightInd w:val="0"/>
    </w:pPr>
    <w:rPr>
      <w:rFonts w:ascii="Arial" w:hAnsi="Arial" w:cs="Arial"/>
      <w:color w:val="000000"/>
      <w:sz w:val="24"/>
      <w:szCs w:val="24"/>
    </w:rPr>
  </w:style>
  <w:style w:type="character" w:customStyle="1" w:styleId="FootnoteTextChar">
    <w:name w:val="Footnote Text Char"/>
    <w:basedOn w:val="DefaultParagraphFont"/>
    <w:link w:val="FootnoteText"/>
    <w:uiPriority w:val="99"/>
    <w:semiHidden/>
    <w:rsid w:val="00454340"/>
    <w:rPr>
      <w:lang w:eastAsia="en-US"/>
    </w:rPr>
  </w:style>
  <w:style w:type="character" w:styleId="BookTitle">
    <w:name w:val="Book Title"/>
    <w:basedOn w:val="DefaultParagraphFont"/>
    <w:uiPriority w:val="33"/>
    <w:qFormat/>
    <w:rsid w:val="00D07655"/>
    <w:rPr>
      <w:b/>
      <w:bCs/>
      <w:i/>
      <w:iCs/>
      <w:spacing w:val="5"/>
    </w:rPr>
  </w:style>
  <w:style w:type="paragraph" w:styleId="Revision">
    <w:name w:val="Revision"/>
    <w:hidden/>
    <w:uiPriority w:val="99"/>
    <w:semiHidden/>
    <w:rsid w:val="007049A9"/>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728072404">
      <w:bodyDiv w:val="1"/>
      <w:marLeft w:val="0"/>
      <w:marRight w:val="0"/>
      <w:marTop w:val="0"/>
      <w:marBottom w:val="0"/>
      <w:divBdr>
        <w:top w:val="none" w:sz="0" w:space="0" w:color="auto"/>
        <w:left w:val="none" w:sz="0" w:space="0" w:color="auto"/>
        <w:bottom w:val="none" w:sz="0" w:space="0" w:color="auto"/>
        <w:right w:val="none" w:sz="0" w:space="0" w:color="auto"/>
      </w:divBdr>
    </w:div>
    <w:div w:id="191905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avis.kusitor@harrow.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6" ma:contentTypeDescription="Create a new document." ma:contentTypeScope="" ma:versionID="54dead1c044bf3cf1426d7343f24824f">
  <xsd:schema xmlns:xsd="http://www.w3.org/2001/XMLSchema" xmlns:xs="http://www.w3.org/2001/XMLSchema" xmlns:p="http://schemas.microsoft.com/office/2006/metadata/properties" xmlns:ns2="48fdd5af-7127-4349-9ef8-8ec3aedfe79a" xmlns:ns3="d7bf0660-0b03-4216-b364-8c8e0fe76916" targetNamespace="http://schemas.microsoft.com/office/2006/metadata/properties" ma:root="true" ma:fieldsID="a56b99441329c4257e681e6456b5fefe" ns2:_="" ns3:_="">
    <xsd:import namespace="48fdd5af-7127-4349-9ef8-8ec3aedfe79a"/>
    <xsd:import namespace="d7bf0660-0b03-4216-b364-8c8e0fe769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bf0660-0b03-4216-b364-8c8e0fe769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C69BDD45-1CD4-4961-A8C2-64DF469425CD}">
  <ds:schemaRefs>
    <ds:schemaRef ds:uri="http://schemas.openxmlformats.org/officeDocument/2006/bibliography"/>
  </ds:schemaRefs>
</ds:datastoreItem>
</file>

<file path=customXml/itemProps2.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9C20F3-7DD3-4EF3-944E-05BD0019E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d7bf0660-0b03-4216-b364-8c8e0fe76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5.xml><?xml version="1.0" encoding="utf-8"?>
<ds:datastoreItem xmlns:ds="http://schemas.openxmlformats.org/officeDocument/2006/customXml" ds:itemID="{B6642009-1DAA-4CD4-ACA7-9D432556367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2717</Words>
  <Characters>15064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17746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Nikoleta Kemp</cp:lastModifiedBy>
  <cp:revision>6</cp:revision>
  <cp:lastPrinted>2014-10-31T16:34:00Z</cp:lastPrinted>
  <dcterms:created xsi:type="dcterms:W3CDTF">2023-06-16T10:29:00Z</dcterms:created>
  <dcterms:modified xsi:type="dcterms:W3CDTF">2023-06-19T11:17:00Z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y fmtid="{D5CDD505-2E9C-101B-9397-08002B2CF9AE}" pid="3" name="TaxKeyword">
    <vt:lpwstr>108;#Cabinet Report Template|b79b58f4-03f4-47dd-bec7-7bae4bc4af23</vt:lpwstr>
  </property>
</Properties>
</file>